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36244" w14:textId="77777777" w:rsidR="001F70D1" w:rsidRPr="001F70D1" w:rsidRDefault="001F70D1" w:rsidP="001F70D1">
      <w:pPr>
        <w:rPr>
          <w:b/>
          <w:bCs/>
        </w:rPr>
      </w:pPr>
      <w:bookmarkStart w:id="0" w:name="_Toc180498127"/>
      <w:r w:rsidRPr="001F70D1">
        <w:rPr>
          <w:b/>
          <w:bCs/>
        </w:rPr>
        <w:t>Asjaomaste asutuste või kaasatud isikute/asutuste ettepanekud ja nendega arvestamine</w:t>
      </w:r>
      <w:bookmarkEnd w:id="0"/>
    </w:p>
    <w:tbl>
      <w:tblPr>
        <w:tblW w:w="13745" w:type="dxa"/>
        <w:tblBorders>
          <w:top w:val="single" w:sz="4" w:space="0" w:color="63654D"/>
          <w:left w:val="single" w:sz="4" w:space="0" w:color="63654D"/>
          <w:bottom w:val="single" w:sz="4" w:space="0" w:color="63654D"/>
          <w:right w:val="single" w:sz="4" w:space="0" w:color="63654D"/>
          <w:insideH w:val="single" w:sz="4" w:space="0" w:color="63654D"/>
          <w:insideV w:val="single" w:sz="4" w:space="0" w:color="63654D"/>
        </w:tblBorders>
        <w:tblLayout w:type="fixed"/>
        <w:tblLook w:val="04A0" w:firstRow="1" w:lastRow="0" w:firstColumn="1" w:lastColumn="0" w:noHBand="0" w:noVBand="1"/>
      </w:tblPr>
      <w:tblGrid>
        <w:gridCol w:w="2263"/>
        <w:gridCol w:w="7796"/>
        <w:gridCol w:w="3686"/>
      </w:tblGrid>
      <w:tr w:rsidR="001F70D1" w:rsidRPr="001F70D1" w14:paraId="11A168CC" w14:textId="77777777" w:rsidTr="001F70D1">
        <w:trPr>
          <w:trHeight w:val="567"/>
        </w:trPr>
        <w:tc>
          <w:tcPr>
            <w:tcW w:w="2263" w:type="dxa"/>
            <w:shd w:val="clear" w:color="auto" w:fill="C7D6D1"/>
            <w:vAlign w:val="center"/>
          </w:tcPr>
          <w:p w14:paraId="078631E5" w14:textId="1DCB2857" w:rsidR="001F70D1" w:rsidRPr="001F70D1" w:rsidRDefault="001F70D1" w:rsidP="001F70D1">
            <w:pPr>
              <w:rPr>
                <w:bCs/>
                <w:i/>
                <w:iCs/>
              </w:rPr>
            </w:pPr>
            <w:r w:rsidRPr="001F70D1">
              <w:rPr>
                <w:bCs/>
                <w:i/>
                <w:iCs/>
              </w:rPr>
              <w:t xml:space="preserve">Koostöö tegija </w:t>
            </w:r>
          </w:p>
        </w:tc>
        <w:tc>
          <w:tcPr>
            <w:tcW w:w="7796" w:type="dxa"/>
            <w:shd w:val="clear" w:color="auto" w:fill="C7D6D1"/>
            <w:vAlign w:val="center"/>
          </w:tcPr>
          <w:p w14:paraId="4234D603" w14:textId="77777777" w:rsidR="001F70D1" w:rsidRPr="001F70D1" w:rsidRDefault="001F70D1" w:rsidP="001F70D1">
            <w:pPr>
              <w:rPr>
                <w:bCs/>
                <w:i/>
                <w:iCs/>
              </w:rPr>
            </w:pPr>
            <w:r w:rsidRPr="001F70D1">
              <w:rPr>
                <w:bCs/>
                <w:i/>
                <w:iCs/>
              </w:rPr>
              <w:t xml:space="preserve">Ettepaneku sisu </w:t>
            </w:r>
          </w:p>
        </w:tc>
        <w:tc>
          <w:tcPr>
            <w:tcW w:w="3686" w:type="dxa"/>
            <w:shd w:val="clear" w:color="auto" w:fill="C7D6D1"/>
            <w:vAlign w:val="center"/>
          </w:tcPr>
          <w:p w14:paraId="0003174C" w14:textId="77777777" w:rsidR="001F70D1" w:rsidRPr="001F70D1" w:rsidRDefault="001F70D1" w:rsidP="001F70D1">
            <w:pPr>
              <w:rPr>
                <w:bCs/>
                <w:i/>
                <w:iCs/>
              </w:rPr>
            </w:pPr>
            <w:r w:rsidRPr="001F70D1">
              <w:rPr>
                <w:bCs/>
                <w:i/>
                <w:iCs/>
              </w:rPr>
              <w:t xml:space="preserve">Vastus </w:t>
            </w:r>
          </w:p>
        </w:tc>
      </w:tr>
      <w:tr w:rsidR="001F70D1" w:rsidRPr="001F70D1" w14:paraId="6CE47DF0" w14:textId="77777777" w:rsidTr="001F70D1">
        <w:trPr>
          <w:trHeight w:val="712"/>
        </w:trPr>
        <w:tc>
          <w:tcPr>
            <w:tcW w:w="2263" w:type="dxa"/>
            <w:vMerge w:val="restart"/>
            <w:vAlign w:val="center"/>
          </w:tcPr>
          <w:p w14:paraId="00A1F696" w14:textId="77777777" w:rsidR="001F70D1" w:rsidRDefault="00F7303B" w:rsidP="001F70D1">
            <w:pPr>
              <w:rPr>
                <w:bCs/>
                <w:i/>
                <w:iCs/>
              </w:rPr>
            </w:pPr>
            <w:r>
              <w:rPr>
                <w:bCs/>
                <w:i/>
                <w:iCs/>
              </w:rPr>
              <w:t>Maa- ja Ruumiamet</w:t>
            </w:r>
          </w:p>
          <w:p w14:paraId="27794930" w14:textId="77777777" w:rsidR="00F7303B" w:rsidRDefault="00F7303B" w:rsidP="001F70D1">
            <w:pPr>
              <w:rPr>
                <w:bCs/>
                <w:i/>
                <w:iCs/>
              </w:rPr>
            </w:pPr>
            <w:r>
              <w:rPr>
                <w:bCs/>
                <w:i/>
                <w:iCs/>
              </w:rPr>
              <w:t xml:space="preserve">06.02.2025 </w:t>
            </w:r>
          </w:p>
          <w:p w14:paraId="01202189" w14:textId="1808DFAA" w:rsidR="00F7303B" w:rsidRPr="001F70D1" w:rsidRDefault="00F7303B" w:rsidP="001F70D1">
            <w:pPr>
              <w:rPr>
                <w:bCs/>
                <w:i/>
                <w:iCs/>
              </w:rPr>
            </w:pPr>
            <w:r>
              <w:rPr>
                <w:bCs/>
                <w:i/>
                <w:iCs/>
              </w:rPr>
              <w:t>nr 12-1/25/126-3</w:t>
            </w:r>
          </w:p>
        </w:tc>
        <w:tc>
          <w:tcPr>
            <w:tcW w:w="7796" w:type="dxa"/>
            <w:vAlign w:val="center"/>
          </w:tcPr>
          <w:p w14:paraId="26A960CB" w14:textId="475D7FE4" w:rsidR="001F70D1" w:rsidRPr="001F70D1" w:rsidRDefault="00EF6CF8" w:rsidP="00EF6CF8">
            <w:pPr>
              <w:rPr>
                <w:bCs/>
                <w:i/>
                <w:iCs/>
              </w:rPr>
            </w:pPr>
            <w:r w:rsidRPr="00EF6CF8">
              <w:rPr>
                <w:bCs/>
                <w:i/>
                <w:iCs/>
                <w:lang w:val="en-US"/>
              </w:rPr>
              <w:t>Hübriidpargi EP maa-ala kattub Ilmaste 4 (maaparandussüsteem (edaspidi MS) 1107020020080/ ehitis 005) maaparandusehitise ja selle eesvoolu maa alaga, Satsu 2 (MS 1107030010010/ ehitis 003) maaparandusehitise eesvoolu maa-alaga, Ilmaste 2 (MS 1107020020080/ ehitis 002) maaparandusehitise eesvoolu maa-alaga ja Liignurme1/TTP-269/Püssi (MS 1107060020030/ehitis 001) maaparandusehitise eesvoolu maa-alaga ning riigi poolt korrashoitava Uuemõisa oja (MS 1107060020000/ehitis 001) ühiseesvoolu maa-alaga.</w:t>
            </w:r>
          </w:p>
        </w:tc>
        <w:tc>
          <w:tcPr>
            <w:tcW w:w="3686" w:type="dxa"/>
            <w:vAlign w:val="center"/>
          </w:tcPr>
          <w:p w14:paraId="4AF32523" w14:textId="2367388F" w:rsidR="001F70D1" w:rsidRPr="001F70D1" w:rsidRDefault="00F50E65" w:rsidP="001F70D1">
            <w:pPr>
              <w:rPr>
                <w:bCs/>
                <w:i/>
                <w:iCs/>
              </w:rPr>
            </w:pPr>
            <w:r w:rsidRPr="00582B5B">
              <w:rPr>
                <w:bCs/>
                <w:lang w:val="et"/>
              </w:rPr>
              <w:t>Võtame teadmiseks</w:t>
            </w:r>
            <w:r w:rsidRPr="00F50E65">
              <w:rPr>
                <w:bCs/>
                <w:i/>
                <w:iCs/>
                <w:lang w:val="et"/>
              </w:rPr>
              <w:t>.</w:t>
            </w:r>
          </w:p>
        </w:tc>
      </w:tr>
      <w:tr w:rsidR="001F70D1" w:rsidRPr="001F70D1" w14:paraId="2DE4C153" w14:textId="77777777" w:rsidTr="001F70D1">
        <w:trPr>
          <w:trHeight w:val="712"/>
        </w:trPr>
        <w:tc>
          <w:tcPr>
            <w:tcW w:w="2263" w:type="dxa"/>
            <w:vMerge/>
            <w:vAlign w:val="center"/>
          </w:tcPr>
          <w:p w14:paraId="14C0524E" w14:textId="77777777" w:rsidR="001F70D1" w:rsidRPr="001F70D1" w:rsidRDefault="001F70D1" w:rsidP="001F70D1">
            <w:pPr>
              <w:rPr>
                <w:bCs/>
                <w:i/>
                <w:iCs/>
              </w:rPr>
            </w:pPr>
          </w:p>
        </w:tc>
        <w:tc>
          <w:tcPr>
            <w:tcW w:w="7796" w:type="dxa"/>
            <w:vAlign w:val="center"/>
          </w:tcPr>
          <w:p w14:paraId="31224664" w14:textId="3603E755" w:rsidR="001F70D1" w:rsidRPr="001F70D1" w:rsidRDefault="00CF0D8E" w:rsidP="00CF0D8E">
            <w:pPr>
              <w:rPr>
                <w:bCs/>
                <w:i/>
                <w:iCs/>
              </w:rPr>
            </w:pPr>
            <w:r w:rsidRPr="00CF0D8E">
              <w:rPr>
                <w:bCs/>
                <w:i/>
                <w:iCs/>
                <w:lang w:val="en-US"/>
              </w:rPr>
              <w:t>Juhime tähelepanu, et Regionaal- ja Põllumajandusministeerium (endine Maaeluministeerium) (edaspidi ReM) on kirjaga nr 4.1-5/2043-1 andnud Rahandusministeeriumile tuuleparkide planeerimisega seotud teemal seisukohad (vt lisa 1). Palume ka Lüganuse vallas Evecon OÜ ja Enery Estonia OÜ tuuleparkide eriplaneeringu edasisel koostamisel nende seisukohtadega arvestada. MaRu arvamus ühtib ReM-i seisukohaga, et tuuleparkide EP koostamisel tuleb käsitleda võimalikku mõju maaparandussüsteemidele ja maaparandussüsteemidega hõlmatud maa-aladele ja seada nõuded nende säilitamiseks või rekonstrueerimiseks.</w:t>
            </w:r>
          </w:p>
        </w:tc>
        <w:tc>
          <w:tcPr>
            <w:tcW w:w="3686" w:type="dxa"/>
            <w:vAlign w:val="center"/>
          </w:tcPr>
          <w:p w14:paraId="0AF32BD2" w14:textId="49585E4E" w:rsidR="001F70D1" w:rsidRPr="001F70D1" w:rsidRDefault="00460866" w:rsidP="001F70D1">
            <w:pPr>
              <w:rPr>
                <w:bCs/>
                <w:i/>
                <w:iCs/>
              </w:rPr>
            </w:pPr>
            <w:r w:rsidRPr="00582B5B">
              <w:rPr>
                <w:bCs/>
                <w:lang w:val="et"/>
              </w:rPr>
              <w:t>Võtame teadmiseks</w:t>
            </w:r>
            <w:r w:rsidR="00A2424F">
              <w:rPr>
                <w:bCs/>
                <w:lang w:val="et"/>
              </w:rPr>
              <w:t>.</w:t>
            </w:r>
          </w:p>
        </w:tc>
      </w:tr>
      <w:tr w:rsidR="001F70D1" w:rsidRPr="001F70D1" w14:paraId="7D08B437" w14:textId="77777777" w:rsidTr="001F70D1">
        <w:trPr>
          <w:trHeight w:val="712"/>
        </w:trPr>
        <w:tc>
          <w:tcPr>
            <w:tcW w:w="2263" w:type="dxa"/>
            <w:vMerge/>
            <w:vAlign w:val="center"/>
          </w:tcPr>
          <w:p w14:paraId="3BD9632C" w14:textId="77777777" w:rsidR="001F70D1" w:rsidRPr="001F70D1" w:rsidRDefault="001F70D1" w:rsidP="001F70D1">
            <w:pPr>
              <w:rPr>
                <w:bCs/>
                <w:i/>
                <w:iCs/>
              </w:rPr>
            </w:pPr>
          </w:p>
        </w:tc>
        <w:tc>
          <w:tcPr>
            <w:tcW w:w="7796" w:type="dxa"/>
            <w:vAlign w:val="center"/>
          </w:tcPr>
          <w:p w14:paraId="1DBE568B" w14:textId="0CE28A8C" w:rsidR="001F70D1" w:rsidRPr="001F70D1" w:rsidRDefault="00CF0D8E" w:rsidP="00CF0D8E">
            <w:pPr>
              <w:rPr>
                <w:bCs/>
                <w:i/>
                <w:iCs/>
              </w:rPr>
            </w:pPr>
            <w:r w:rsidRPr="00CF0D8E">
              <w:rPr>
                <w:bCs/>
                <w:i/>
                <w:iCs/>
                <w:lang w:val="en-US"/>
              </w:rPr>
              <w:t>Eriplaneeringu edasistes etappides tuleb anda selge kirjeldus, kuidas ning millises mahus maaparandussüsteemid toimima jäävad ning milliseid meetmeid kasutatakse selleks, et maaparandussüsteemid nende kasutamise kestel vastaks maaparandusseaduse § 5 lõigetes 1-8 esitatud maaparandussüsteemi nõuetele ja et oleks tagatud maaparandussüsteemi ehitiste ja rajatiste korrashoid ning toimimisvõime. Lisaks oleme nõus ReM-i seisukohaga, et mida vähem maaparandussüsteemi maa-alasid, eelkõige maaparandussüsteemi toimimist tagavaid ehitisi (drenaaž, kollektorid, eesvoolud, kuivenduskraavid jms), tuulikute ja taristu rajamine puudutab, seda kuluefektiivsem on tuulikupargi rajamine maaparanduslikust aspektist.</w:t>
            </w:r>
          </w:p>
        </w:tc>
        <w:tc>
          <w:tcPr>
            <w:tcW w:w="3686" w:type="dxa"/>
            <w:vAlign w:val="center"/>
          </w:tcPr>
          <w:p w14:paraId="694CED1D" w14:textId="16ED85A7" w:rsidR="001A7D09" w:rsidRPr="001A7D09" w:rsidRDefault="001A7D09" w:rsidP="001A7D09">
            <w:pPr>
              <w:rPr>
                <w:bCs/>
                <w:i/>
                <w:iCs/>
              </w:rPr>
            </w:pPr>
            <w:r w:rsidRPr="001A7D09">
              <w:rPr>
                <w:bCs/>
                <w:i/>
                <w:iCs/>
                <w:lang w:val="et"/>
              </w:rPr>
              <w:t>Võtame teadmiseks</w:t>
            </w:r>
            <w:r w:rsidR="00034F0D">
              <w:rPr>
                <w:bCs/>
                <w:i/>
                <w:iCs/>
                <w:lang w:val="et"/>
              </w:rPr>
              <w:t xml:space="preserve"> ja </w:t>
            </w:r>
            <w:r w:rsidRPr="001A7D09">
              <w:rPr>
                <w:bCs/>
                <w:i/>
                <w:iCs/>
                <w:lang w:val="et"/>
              </w:rPr>
              <w:t>arvestame edasise töö käigus.</w:t>
            </w:r>
          </w:p>
          <w:p w14:paraId="2A0AD7E2" w14:textId="77777777" w:rsidR="001F70D1" w:rsidRPr="001F70D1" w:rsidRDefault="001F70D1" w:rsidP="001F70D1">
            <w:pPr>
              <w:rPr>
                <w:bCs/>
                <w:i/>
                <w:iCs/>
              </w:rPr>
            </w:pPr>
          </w:p>
        </w:tc>
      </w:tr>
      <w:tr w:rsidR="001F70D1" w:rsidRPr="001F70D1" w14:paraId="35BF881C" w14:textId="77777777" w:rsidTr="001F70D1">
        <w:trPr>
          <w:trHeight w:val="712"/>
        </w:trPr>
        <w:tc>
          <w:tcPr>
            <w:tcW w:w="2263" w:type="dxa"/>
            <w:vMerge/>
            <w:vAlign w:val="center"/>
          </w:tcPr>
          <w:p w14:paraId="51F6AE3F" w14:textId="77777777" w:rsidR="001F70D1" w:rsidRPr="001F70D1" w:rsidRDefault="001F70D1" w:rsidP="001F70D1">
            <w:pPr>
              <w:rPr>
                <w:bCs/>
                <w:i/>
                <w:iCs/>
              </w:rPr>
            </w:pPr>
          </w:p>
        </w:tc>
        <w:tc>
          <w:tcPr>
            <w:tcW w:w="7796" w:type="dxa"/>
            <w:vAlign w:val="center"/>
          </w:tcPr>
          <w:p w14:paraId="367CD238" w14:textId="47FCDF33" w:rsidR="001F70D1" w:rsidRPr="001F70D1" w:rsidRDefault="00340338" w:rsidP="001F70D1">
            <w:pPr>
              <w:rPr>
                <w:bCs/>
                <w:i/>
                <w:iCs/>
              </w:rPr>
            </w:pPr>
            <w:r w:rsidRPr="00340338">
              <w:rPr>
                <w:bCs/>
                <w:i/>
                <w:iCs/>
                <w:lang w:val="en-US"/>
              </w:rPr>
              <w:t>Tulenevalt eeltoodust palume Alexela Kiviõli hübriidpargi EP edasistes etappides arvestada ReM-i seisukohtadega ning käesolevas kirjas kirjutatuga. Võimalusel vältida hübriidpargi ja selle toimimiseks vajaliku taristu asukoha valikul maaparandussüsteemide maa-alasid või arvestada juba varakult maaparandussüsteemide rekonstrueerimise vajadusega ning käsitleda meetmeid maaparandussüsteemide kaitseks ja/või ümber ehituseks EP edasistes dokumentides.</w:t>
            </w:r>
          </w:p>
        </w:tc>
        <w:tc>
          <w:tcPr>
            <w:tcW w:w="3686" w:type="dxa"/>
            <w:vAlign w:val="center"/>
          </w:tcPr>
          <w:p w14:paraId="6D99863B" w14:textId="7BE3638A" w:rsidR="001F70D1" w:rsidRPr="009A6581" w:rsidRDefault="00034F0D" w:rsidP="001F70D1">
            <w:pPr>
              <w:rPr>
                <w:bCs/>
              </w:rPr>
            </w:pPr>
            <w:r w:rsidRPr="00034F0D">
              <w:rPr>
                <w:bCs/>
                <w:lang w:val="et"/>
              </w:rPr>
              <w:t>Võtame teadmiseks ja arvestame edasise töö käigus.</w:t>
            </w:r>
          </w:p>
        </w:tc>
      </w:tr>
      <w:tr w:rsidR="001F70D1" w:rsidRPr="001F70D1" w14:paraId="3910C0F3" w14:textId="77777777" w:rsidTr="001F70D1">
        <w:trPr>
          <w:trHeight w:val="712"/>
        </w:trPr>
        <w:tc>
          <w:tcPr>
            <w:tcW w:w="2263" w:type="dxa"/>
            <w:vMerge/>
            <w:vAlign w:val="center"/>
          </w:tcPr>
          <w:p w14:paraId="0FD56B9F" w14:textId="77777777" w:rsidR="001F70D1" w:rsidRPr="001F70D1" w:rsidRDefault="001F70D1" w:rsidP="001F70D1">
            <w:pPr>
              <w:rPr>
                <w:bCs/>
                <w:i/>
                <w:iCs/>
              </w:rPr>
            </w:pPr>
          </w:p>
        </w:tc>
        <w:tc>
          <w:tcPr>
            <w:tcW w:w="7796" w:type="dxa"/>
            <w:vAlign w:val="center"/>
          </w:tcPr>
          <w:p w14:paraId="098E7740" w14:textId="189C7462" w:rsidR="001F70D1" w:rsidRPr="001F70D1" w:rsidRDefault="00340338" w:rsidP="001F70D1">
            <w:pPr>
              <w:rPr>
                <w:bCs/>
                <w:i/>
                <w:iCs/>
              </w:rPr>
            </w:pPr>
            <w:r w:rsidRPr="00340338">
              <w:rPr>
                <w:bCs/>
                <w:i/>
                <w:iCs/>
                <w:lang w:val="en-US"/>
              </w:rPr>
              <w:t>Lisaks juhime tähelepanu, et Alexela Kiviõli hübriidpargi EP lähteseisukohtade ja mõjude hindamise sh keskkonnamõju strateegilise hindamise programmi seletuskirja tabelis 3-2. „Huvitatud asutused ja isikute loetelu“ tuleb sisse viia muudatus, Põllumajandus- ja Toiduamet asendada Maa- ja Ruumiametiga.</w:t>
            </w:r>
          </w:p>
        </w:tc>
        <w:tc>
          <w:tcPr>
            <w:tcW w:w="3686" w:type="dxa"/>
            <w:vAlign w:val="center"/>
          </w:tcPr>
          <w:p w14:paraId="3981867A" w14:textId="3AEA9DA4" w:rsidR="001F70D1" w:rsidRPr="009A6581" w:rsidRDefault="007A04AD" w:rsidP="001F70D1">
            <w:pPr>
              <w:rPr>
                <w:bCs/>
              </w:rPr>
            </w:pPr>
            <w:r w:rsidRPr="003558B8">
              <w:rPr>
                <w:bCs/>
              </w:rPr>
              <w:t>Teadmiseks võetud ja KSH programmi on täiendatud.</w:t>
            </w:r>
          </w:p>
        </w:tc>
      </w:tr>
      <w:tr w:rsidR="00ED6376" w:rsidRPr="001F70D1" w14:paraId="1F714CE6" w14:textId="77777777" w:rsidTr="00600E74">
        <w:trPr>
          <w:trHeight w:val="2156"/>
        </w:trPr>
        <w:tc>
          <w:tcPr>
            <w:tcW w:w="2263" w:type="dxa"/>
            <w:vAlign w:val="center"/>
          </w:tcPr>
          <w:p w14:paraId="087466CC" w14:textId="77777777" w:rsidR="00ED6376" w:rsidRDefault="00ED6376" w:rsidP="001F70D1">
            <w:pPr>
              <w:rPr>
                <w:bCs/>
                <w:i/>
                <w:iCs/>
              </w:rPr>
            </w:pPr>
            <w:r>
              <w:rPr>
                <w:bCs/>
                <w:i/>
                <w:iCs/>
              </w:rPr>
              <w:t>Kliimaministeerium</w:t>
            </w:r>
          </w:p>
          <w:p w14:paraId="6807FD98" w14:textId="77777777" w:rsidR="00ED6376" w:rsidRDefault="00ED6376" w:rsidP="001F70D1">
            <w:pPr>
              <w:rPr>
                <w:bCs/>
                <w:i/>
                <w:iCs/>
              </w:rPr>
            </w:pPr>
            <w:r>
              <w:rPr>
                <w:bCs/>
                <w:i/>
                <w:iCs/>
              </w:rPr>
              <w:t>06.02.2025</w:t>
            </w:r>
          </w:p>
          <w:p w14:paraId="37774A43" w14:textId="53800A1D" w:rsidR="00ED6376" w:rsidRPr="001F70D1" w:rsidRDefault="00ED6376" w:rsidP="001F70D1">
            <w:pPr>
              <w:rPr>
                <w:bCs/>
                <w:i/>
                <w:iCs/>
              </w:rPr>
            </w:pPr>
            <w:r>
              <w:rPr>
                <w:bCs/>
                <w:i/>
                <w:iCs/>
              </w:rPr>
              <w:t>Nr 7-15/25/41-2</w:t>
            </w:r>
          </w:p>
        </w:tc>
        <w:tc>
          <w:tcPr>
            <w:tcW w:w="7796" w:type="dxa"/>
            <w:vAlign w:val="center"/>
          </w:tcPr>
          <w:p w14:paraId="2AE3F744" w14:textId="42245DC9" w:rsidR="00ED6376" w:rsidRPr="001F70D1" w:rsidRDefault="00ED6376" w:rsidP="00ED6376">
            <w:pPr>
              <w:rPr>
                <w:bCs/>
                <w:i/>
                <w:iCs/>
              </w:rPr>
            </w:pPr>
            <w:r w:rsidRPr="00ED6376">
              <w:rPr>
                <w:bCs/>
                <w:i/>
                <w:iCs/>
                <w:lang w:val="en-US"/>
              </w:rPr>
              <w:t>Täname Teid eriplaneeringu menetlusse kaasamast, kuid Kliimaministeerium ei pea vajalikuks osaleda kaasatud asutusena ning ei esita seisukohta. Nimetatud planeeringu ja keskkonnamõju strateegilise hindamise puhul piisab keskkonnavaldkonnas Keskkonnaameti kui asjaomase asutuse seisukohast.</w:t>
            </w:r>
          </w:p>
        </w:tc>
        <w:tc>
          <w:tcPr>
            <w:tcW w:w="3686" w:type="dxa"/>
            <w:vAlign w:val="center"/>
          </w:tcPr>
          <w:p w14:paraId="0691B8F5" w14:textId="79AFB48D" w:rsidR="00ED6376" w:rsidRPr="00B027B0" w:rsidRDefault="009A6581" w:rsidP="001F70D1">
            <w:pPr>
              <w:rPr>
                <w:bCs/>
              </w:rPr>
            </w:pPr>
            <w:r w:rsidRPr="00B027B0">
              <w:rPr>
                <w:bCs/>
              </w:rPr>
              <w:t>Teadmiseks võetud.</w:t>
            </w:r>
          </w:p>
        </w:tc>
      </w:tr>
      <w:tr w:rsidR="002111B7" w:rsidRPr="001F70D1" w14:paraId="4AC3B36E" w14:textId="77777777" w:rsidTr="001F70D1">
        <w:trPr>
          <w:trHeight w:val="712"/>
        </w:trPr>
        <w:tc>
          <w:tcPr>
            <w:tcW w:w="2263" w:type="dxa"/>
            <w:vMerge w:val="restart"/>
            <w:vAlign w:val="center"/>
          </w:tcPr>
          <w:p w14:paraId="00F8883F" w14:textId="77777777" w:rsidR="002111B7" w:rsidRDefault="002111B7" w:rsidP="001F70D1">
            <w:pPr>
              <w:rPr>
                <w:bCs/>
                <w:i/>
                <w:iCs/>
              </w:rPr>
            </w:pPr>
            <w:r>
              <w:rPr>
                <w:bCs/>
                <w:i/>
                <w:iCs/>
              </w:rPr>
              <w:t>Terviseamet</w:t>
            </w:r>
          </w:p>
          <w:p w14:paraId="05642A28" w14:textId="77777777" w:rsidR="002111B7" w:rsidRDefault="002111B7" w:rsidP="001F70D1">
            <w:pPr>
              <w:rPr>
                <w:bCs/>
                <w:i/>
                <w:iCs/>
              </w:rPr>
            </w:pPr>
            <w:r>
              <w:rPr>
                <w:bCs/>
                <w:i/>
                <w:iCs/>
              </w:rPr>
              <w:t xml:space="preserve">28.01.2025 </w:t>
            </w:r>
          </w:p>
          <w:p w14:paraId="5AC5D8D1" w14:textId="62B64439" w:rsidR="002111B7" w:rsidRPr="001F70D1" w:rsidRDefault="002111B7" w:rsidP="001F70D1">
            <w:pPr>
              <w:rPr>
                <w:bCs/>
                <w:i/>
                <w:iCs/>
              </w:rPr>
            </w:pPr>
            <w:r>
              <w:rPr>
                <w:bCs/>
                <w:i/>
                <w:iCs/>
              </w:rPr>
              <w:t>nr 9.3-1/24/5829-3</w:t>
            </w:r>
          </w:p>
        </w:tc>
        <w:tc>
          <w:tcPr>
            <w:tcW w:w="7796" w:type="dxa"/>
            <w:vAlign w:val="center"/>
          </w:tcPr>
          <w:p w14:paraId="731BA423" w14:textId="5B1214CE" w:rsidR="002111B7" w:rsidRPr="001F70D1" w:rsidRDefault="002111B7" w:rsidP="001F70D1">
            <w:pPr>
              <w:rPr>
                <w:bCs/>
                <w:i/>
                <w:iCs/>
                <w:lang w:val="en-US"/>
              </w:rPr>
            </w:pPr>
            <w:r w:rsidRPr="00B15147">
              <w:rPr>
                <w:bCs/>
                <w:i/>
                <w:iCs/>
                <w:lang w:val="en-US"/>
              </w:rPr>
              <w:t xml:space="preserve">Arvestada, et planeeritava tegevuse ehitusaegne müra ei tohi ületada keskkonnaministri 16.12.2016 määruses nr 71 „Välisõhus leviva müra normtasemed ja mürataseme mõõtmise, määramise ja hindamise meetodid“ kehtestatud mürataseme normatiive. </w:t>
            </w:r>
          </w:p>
        </w:tc>
        <w:tc>
          <w:tcPr>
            <w:tcW w:w="3686" w:type="dxa"/>
            <w:vAlign w:val="center"/>
          </w:tcPr>
          <w:p w14:paraId="0674D2B2" w14:textId="3B5026B0" w:rsidR="002111B7" w:rsidRPr="00B027B0" w:rsidRDefault="00453B32" w:rsidP="001F70D1">
            <w:pPr>
              <w:rPr>
                <w:bCs/>
              </w:rPr>
            </w:pPr>
            <w:r w:rsidRPr="00B027B0">
              <w:rPr>
                <w:bCs/>
              </w:rPr>
              <w:t>Teadmiseks võetud.</w:t>
            </w:r>
          </w:p>
        </w:tc>
      </w:tr>
      <w:tr w:rsidR="002111B7" w:rsidRPr="001F70D1" w14:paraId="4FEF03D8" w14:textId="77777777" w:rsidTr="001F70D1">
        <w:trPr>
          <w:trHeight w:val="712"/>
        </w:trPr>
        <w:tc>
          <w:tcPr>
            <w:tcW w:w="2263" w:type="dxa"/>
            <w:vMerge/>
            <w:vAlign w:val="center"/>
          </w:tcPr>
          <w:p w14:paraId="50C768B6" w14:textId="77777777" w:rsidR="002111B7" w:rsidRPr="001F70D1" w:rsidRDefault="002111B7" w:rsidP="001F70D1">
            <w:pPr>
              <w:rPr>
                <w:bCs/>
                <w:i/>
                <w:iCs/>
              </w:rPr>
            </w:pPr>
          </w:p>
        </w:tc>
        <w:tc>
          <w:tcPr>
            <w:tcW w:w="7796" w:type="dxa"/>
            <w:vAlign w:val="center"/>
          </w:tcPr>
          <w:p w14:paraId="0D090196" w14:textId="0ED52EEF" w:rsidR="002111B7" w:rsidRPr="00DE71FE" w:rsidRDefault="002111B7" w:rsidP="001F70D1">
            <w:pPr>
              <w:rPr>
                <w:bCs/>
                <w:i/>
                <w:iCs/>
              </w:rPr>
            </w:pPr>
            <w:r w:rsidRPr="00DE71FE">
              <w:rPr>
                <w:bCs/>
                <w:i/>
                <w:iCs/>
                <w:lang w:val="en-US"/>
              </w:rPr>
              <w:t xml:space="preserve">Maailma Terviseorganisatsioon (WHO) on andnud suunise, mille kohaselt müraleevendavaid meetmeid tuleks rakendada, kui tuuleturbiinide müra ületab 45 dB Lden (ööpäeva 24 h keskmine). Eeldusel, et tuulikupark töötab kuni 24 tundi ööpäevas, soovitab amet uute tuuleparkide arendamisel võtta aluseks kõige rangemad ehk müra sihtväärtused, mis ei ületaks elamualadel päeval 50 dBA ja öösel 40 dBA. Sellist lähemist toetab ka ameti senine praktika, sest inimeste kaebustest on võimalik välja lugeda, et võimalike </w:t>
            </w:r>
            <w:r w:rsidRPr="00DE71FE">
              <w:rPr>
                <w:bCs/>
                <w:i/>
                <w:iCs/>
                <w:lang w:val="en-US"/>
              </w:rPr>
              <w:lastRenderedPageBreak/>
              <w:t>mürahäiringute vältimiseks tasub tuulegeneraatorite puhul aluseks võtta kõige rangemad nõuded (müra sihtväärtused).</w:t>
            </w:r>
          </w:p>
        </w:tc>
        <w:tc>
          <w:tcPr>
            <w:tcW w:w="3686" w:type="dxa"/>
            <w:vAlign w:val="center"/>
          </w:tcPr>
          <w:p w14:paraId="2D8E8773" w14:textId="312BC0F6" w:rsidR="002111B7" w:rsidRPr="00B027B0" w:rsidRDefault="00B027B0" w:rsidP="001F70D1">
            <w:pPr>
              <w:rPr>
                <w:bCs/>
              </w:rPr>
            </w:pPr>
            <w:r w:rsidRPr="00B027B0">
              <w:rPr>
                <w:bCs/>
              </w:rPr>
              <w:lastRenderedPageBreak/>
              <w:t>Teadmiseks võetud.</w:t>
            </w:r>
            <w:r w:rsidR="00D667E8">
              <w:rPr>
                <w:bCs/>
              </w:rPr>
              <w:t xml:space="preserve"> KSH programmi</w:t>
            </w:r>
            <w:r w:rsidR="00440DA3">
              <w:rPr>
                <w:bCs/>
              </w:rPr>
              <w:t xml:space="preserve">s </w:t>
            </w:r>
            <w:r w:rsidR="00D667E8">
              <w:rPr>
                <w:bCs/>
              </w:rPr>
              <w:t xml:space="preserve">on juba </w:t>
            </w:r>
            <w:r w:rsidR="00440DA3">
              <w:rPr>
                <w:bCs/>
              </w:rPr>
              <w:t>vastavate sihtväärtustega arvestamist kajastatud ja kirjeldatud.</w:t>
            </w:r>
          </w:p>
        </w:tc>
      </w:tr>
      <w:tr w:rsidR="00F56525" w:rsidRPr="001F70D1" w14:paraId="29B0D335" w14:textId="77777777" w:rsidTr="001F70D1">
        <w:trPr>
          <w:trHeight w:val="567"/>
        </w:trPr>
        <w:tc>
          <w:tcPr>
            <w:tcW w:w="2263" w:type="dxa"/>
            <w:vMerge/>
            <w:vAlign w:val="center"/>
          </w:tcPr>
          <w:p w14:paraId="25ECF8EA" w14:textId="0863BC28" w:rsidR="00F56525" w:rsidRPr="001F70D1" w:rsidRDefault="00F56525" w:rsidP="00F56525">
            <w:pPr>
              <w:rPr>
                <w:bCs/>
                <w:i/>
                <w:iCs/>
              </w:rPr>
            </w:pPr>
          </w:p>
        </w:tc>
        <w:tc>
          <w:tcPr>
            <w:tcW w:w="7796" w:type="dxa"/>
            <w:vAlign w:val="center"/>
          </w:tcPr>
          <w:p w14:paraId="0F1600D4" w14:textId="7AEA5E13" w:rsidR="00F56525" w:rsidRPr="001F70D1" w:rsidRDefault="00F56525" w:rsidP="00F56525">
            <w:pPr>
              <w:rPr>
                <w:bCs/>
                <w:i/>
                <w:iCs/>
                <w:lang w:val="en-US"/>
              </w:rPr>
            </w:pPr>
            <w:r w:rsidRPr="00E62CFA">
              <w:rPr>
                <w:bCs/>
                <w:i/>
                <w:iCs/>
                <w:lang w:val="en-US"/>
              </w:rPr>
              <w:t xml:space="preserve">Kindlasti tuleb teostada välisõhus leviva müra modelleerimine, et selle abil välja selgitada piisav kaugus tuulikute ja elamualade vahel. Mida kaugemale jäävad kavandatavad tuulegeneraatorid elamualadest, seda minimaalsem on risk ka negatiivsete tervisemõjude avaldumiseks. Erinevates uuringutes on antud soovitus tuuliku ja elamualade puhveralaks võtta 1 km ning ka koostamisel olevas Lüganuse valla üldplaneeringus on üldplaneeringuga leitud sobivatel aladel tuuleparkide puhveralaks määratud 1 km. </w:t>
            </w:r>
          </w:p>
        </w:tc>
        <w:tc>
          <w:tcPr>
            <w:tcW w:w="3686" w:type="dxa"/>
            <w:vAlign w:val="center"/>
          </w:tcPr>
          <w:p w14:paraId="5A2A73FF" w14:textId="6A4D892B" w:rsidR="00F56525" w:rsidRPr="00585B8F" w:rsidRDefault="00F56525" w:rsidP="00F56525">
            <w:pPr>
              <w:rPr>
                <w:bCs/>
              </w:rPr>
            </w:pPr>
            <w:r w:rsidRPr="00585B8F">
              <w:rPr>
                <w:bCs/>
              </w:rPr>
              <w:t>Teadmiseks võetud</w:t>
            </w:r>
            <w:r w:rsidR="00B8508B">
              <w:rPr>
                <w:bCs/>
              </w:rPr>
              <w:t>: KSH programmiga on ette nähtud müra modelleerimine</w:t>
            </w:r>
            <w:r w:rsidR="001F60A5" w:rsidRPr="00585B8F">
              <w:rPr>
                <w:bCs/>
              </w:rPr>
              <w:t>.</w:t>
            </w:r>
          </w:p>
        </w:tc>
      </w:tr>
      <w:tr w:rsidR="00F56525" w:rsidRPr="001F70D1" w14:paraId="72D65B44" w14:textId="77777777" w:rsidTr="001F70D1">
        <w:trPr>
          <w:trHeight w:val="567"/>
        </w:trPr>
        <w:tc>
          <w:tcPr>
            <w:tcW w:w="2263" w:type="dxa"/>
            <w:vMerge/>
            <w:vAlign w:val="center"/>
          </w:tcPr>
          <w:p w14:paraId="7FA35C5C" w14:textId="77777777" w:rsidR="00F56525" w:rsidRPr="001F70D1" w:rsidRDefault="00F56525" w:rsidP="00F56525">
            <w:pPr>
              <w:rPr>
                <w:bCs/>
                <w:i/>
                <w:iCs/>
              </w:rPr>
            </w:pPr>
          </w:p>
        </w:tc>
        <w:tc>
          <w:tcPr>
            <w:tcW w:w="7796" w:type="dxa"/>
            <w:vAlign w:val="center"/>
          </w:tcPr>
          <w:p w14:paraId="391B39E5" w14:textId="31F27FA5" w:rsidR="00F56525" w:rsidRPr="001F70D1" w:rsidRDefault="00F56525" w:rsidP="00F56525">
            <w:pPr>
              <w:rPr>
                <w:bCs/>
                <w:i/>
                <w:iCs/>
                <w:lang w:val="en-US"/>
              </w:rPr>
            </w:pPr>
            <w:r w:rsidRPr="00D52FCE">
              <w:rPr>
                <w:bCs/>
                <w:i/>
                <w:iCs/>
              </w:rPr>
              <w:t xml:space="preserve">Müra leviku modelleerimisel </w:t>
            </w:r>
            <w:r w:rsidRPr="00F41379">
              <w:rPr>
                <w:bCs/>
                <w:i/>
                <w:iCs/>
              </w:rPr>
              <w:t>modelleerida ka madalsagedusliku müra levikut.</w:t>
            </w:r>
          </w:p>
        </w:tc>
        <w:tc>
          <w:tcPr>
            <w:tcW w:w="3686" w:type="dxa"/>
            <w:vAlign w:val="center"/>
          </w:tcPr>
          <w:p w14:paraId="1D9B7FD3" w14:textId="491B52CC" w:rsidR="00B8508B" w:rsidRPr="00F41379" w:rsidRDefault="00B8508B" w:rsidP="00B8508B">
            <w:r w:rsidRPr="00F41379">
              <w:t xml:space="preserve">Alexela hübriidpargi EP ja </w:t>
            </w:r>
            <w:r>
              <w:t xml:space="preserve">selle </w:t>
            </w:r>
            <w:r w:rsidRPr="00F41379">
              <w:t>mõjude hindamine</w:t>
            </w:r>
            <w:r>
              <w:t xml:space="preserve"> on kavas koostada täpsustastmes, et </w:t>
            </w:r>
            <w:r w:rsidRPr="00F41379">
              <w:t xml:space="preserve">tuulepargi </w:t>
            </w:r>
            <w:r>
              <w:t>kavandamist on võimalik jätkata</w:t>
            </w:r>
            <w:r w:rsidRPr="00F41379">
              <w:t xml:space="preserve"> projekteerimistingimustega. </w:t>
            </w:r>
          </w:p>
          <w:p w14:paraId="6488E56C" w14:textId="3144DBC2" w:rsidR="00F56525" w:rsidRPr="00B8508B" w:rsidRDefault="00B8508B" w:rsidP="00F56525">
            <w:pPr>
              <w:rPr>
                <w:bCs/>
              </w:rPr>
            </w:pPr>
            <w:r w:rsidRPr="00F41379">
              <w:rPr>
                <w:bCs/>
              </w:rPr>
              <w:t>Seega lahendatakse EP täpsusastmes, millega muu hulgas määratletakse</w:t>
            </w:r>
            <w:r w:rsidR="000D51FC" w:rsidRPr="00F41379">
              <w:rPr>
                <w:bCs/>
              </w:rPr>
              <w:t xml:space="preserve"> tuuliku</w:t>
            </w:r>
            <w:r w:rsidRPr="00F41379">
              <w:rPr>
                <w:bCs/>
              </w:rPr>
              <w:t>te võimalikud</w:t>
            </w:r>
            <w:r w:rsidR="000D51FC" w:rsidRPr="00F41379">
              <w:rPr>
                <w:bCs/>
              </w:rPr>
              <w:t xml:space="preserve"> positsioonid </w:t>
            </w:r>
            <w:r w:rsidRPr="00F41379">
              <w:rPr>
                <w:bCs/>
              </w:rPr>
              <w:t>ning seega</w:t>
            </w:r>
            <w:r w:rsidR="000D51FC" w:rsidRPr="00F41379">
              <w:rPr>
                <w:bCs/>
              </w:rPr>
              <w:t xml:space="preserve"> on võimalik madalsagedusliku müra levikut arvutuslikult hinnata.</w:t>
            </w:r>
          </w:p>
        </w:tc>
      </w:tr>
      <w:tr w:rsidR="00F56525" w:rsidRPr="001F70D1" w14:paraId="1881C45A" w14:textId="77777777" w:rsidTr="001F70D1">
        <w:trPr>
          <w:trHeight w:val="567"/>
        </w:trPr>
        <w:tc>
          <w:tcPr>
            <w:tcW w:w="2263" w:type="dxa"/>
            <w:vMerge/>
            <w:vAlign w:val="center"/>
          </w:tcPr>
          <w:p w14:paraId="24782349" w14:textId="77777777" w:rsidR="00F56525" w:rsidRPr="001F70D1" w:rsidRDefault="00F56525" w:rsidP="00F56525">
            <w:pPr>
              <w:rPr>
                <w:bCs/>
                <w:i/>
                <w:iCs/>
              </w:rPr>
            </w:pPr>
          </w:p>
        </w:tc>
        <w:tc>
          <w:tcPr>
            <w:tcW w:w="7796" w:type="dxa"/>
            <w:vAlign w:val="center"/>
          </w:tcPr>
          <w:p w14:paraId="6875DFAA" w14:textId="4D4C3D02" w:rsidR="00F56525" w:rsidRPr="001F70D1" w:rsidRDefault="00F56525" w:rsidP="00F56525">
            <w:pPr>
              <w:rPr>
                <w:bCs/>
                <w:i/>
                <w:iCs/>
                <w:lang w:val="en-US"/>
              </w:rPr>
            </w:pPr>
            <w:r w:rsidRPr="00CA695D">
              <w:rPr>
                <w:bCs/>
                <w:i/>
                <w:iCs/>
              </w:rPr>
              <w:t>Lisaks tuulikute tekitavale mürale tuleb arvesse võtta ka tuulepargiga seotud seadmeid, näiteks alajaamade trafosid ja muid lisaseadmeid. Need komponendid võivad tekitada eelkõige tonaalset müra ja neid tuleb hinnata koos tuuliku müraga.</w:t>
            </w:r>
          </w:p>
        </w:tc>
        <w:tc>
          <w:tcPr>
            <w:tcW w:w="3686" w:type="dxa"/>
            <w:vAlign w:val="center"/>
          </w:tcPr>
          <w:p w14:paraId="0D127792" w14:textId="3B942597" w:rsidR="00F56525" w:rsidRPr="00585B8F" w:rsidRDefault="001F60A5" w:rsidP="00F56525">
            <w:pPr>
              <w:rPr>
                <w:bCs/>
              </w:rPr>
            </w:pPr>
            <w:r w:rsidRPr="00585B8F">
              <w:rPr>
                <w:bCs/>
              </w:rPr>
              <w:t>Teadmiseks võetud</w:t>
            </w:r>
            <w:r w:rsidR="003E0FAA">
              <w:rPr>
                <w:bCs/>
              </w:rPr>
              <w:t xml:space="preserve">. </w:t>
            </w:r>
            <w:r w:rsidR="003E0FAA" w:rsidRPr="00EC2415">
              <w:rPr>
                <w:bCs/>
              </w:rPr>
              <w:t xml:space="preserve">Juhul  kui </w:t>
            </w:r>
            <w:r w:rsidR="00EC2415">
              <w:rPr>
                <w:bCs/>
              </w:rPr>
              <w:t>EP-ga</w:t>
            </w:r>
            <w:r w:rsidR="003E0FAA" w:rsidRPr="00EC2415">
              <w:rPr>
                <w:bCs/>
              </w:rPr>
              <w:t xml:space="preserve"> on võimalik juba paika panna kuhu ja milliseid seadmeid kavandatakse saab mõjuhindamises sellega arvestada</w:t>
            </w:r>
            <w:r w:rsidR="00EC2415">
              <w:rPr>
                <w:bCs/>
              </w:rPr>
              <w:t>.</w:t>
            </w:r>
          </w:p>
        </w:tc>
      </w:tr>
      <w:tr w:rsidR="00F56525" w:rsidRPr="001F70D1" w14:paraId="13AF7B7C" w14:textId="77777777" w:rsidTr="001F70D1">
        <w:trPr>
          <w:trHeight w:val="567"/>
        </w:trPr>
        <w:tc>
          <w:tcPr>
            <w:tcW w:w="2263" w:type="dxa"/>
            <w:vMerge/>
            <w:vAlign w:val="center"/>
          </w:tcPr>
          <w:p w14:paraId="45567FE5" w14:textId="77777777" w:rsidR="00F56525" w:rsidRPr="001F70D1" w:rsidRDefault="00F56525" w:rsidP="00F56525">
            <w:pPr>
              <w:rPr>
                <w:bCs/>
                <w:i/>
                <w:iCs/>
              </w:rPr>
            </w:pPr>
          </w:p>
        </w:tc>
        <w:tc>
          <w:tcPr>
            <w:tcW w:w="7796" w:type="dxa"/>
            <w:vAlign w:val="center"/>
          </w:tcPr>
          <w:p w14:paraId="22754DCF" w14:textId="7B83D838" w:rsidR="00F56525" w:rsidRPr="001F70D1" w:rsidRDefault="00F56525" w:rsidP="00F56525">
            <w:pPr>
              <w:rPr>
                <w:bCs/>
                <w:i/>
                <w:iCs/>
                <w:lang w:val="en-US"/>
              </w:rPr>
            </w:pPr>
            <w:r w:rsidRPr="00994885">
              <w:rPr>
                <w:bCs/>
                <w:i/>
                <w:iCs/>
              </w:rPr>
              <w:t>Soovitame hinnata tuulikute käitamisega kaasnevat infraheli.</w:t>
            </w:r>
          </w:p>
        </w:tc>
        <w:tc>
          <w:tcPr>
            <w:tcW w:w="3686" w:type="dxa"/>
            <w:vAlign w:val="center"/>
          </w:tcPr>
          <w:p w14:paraId="0936BAF8" w14:textId="2BE64B42" w:rsidR="00F56525" w:rsidRPr="00EC2415" w:rsidRDefault="00585B8F" w:rsidP="00F56525">
            <w:pPr>
              <w:rPr>
                <w:bCs/>
              </w:rPr>
            </w:pPr>
            <w:r w:rsidRPr="00EC2415">
              <w:rPr>
                <w:bCs/>
              </w:rPr>
              <w:t>Teadmiseks võetud</w:t>
            </w:r>
            <w:r w:rsidR="00FF1FDA">
              <w:rPr>
                <w:bCs/>
              </w:rPr>
              <w:t xml:space="preserve">. </w:t>
            </w:r>
            <w:r w:rsidR="00456425" w:rsidRPr="00F41379">
              <w:rPr>
                <w:bCs/>
              </w:rPr>
              <w:t>Infraheli arvutuslikku hindamist läbi ei viida.</w:t>
            </w:r>
            <w:r w:rsidR="00FF1FDA">
              <w:rPr>
                <w:bCs/>
              </w:rPr>
              <w:t xml:space="preserve"> Infraheli hinnatakse </w:t>
            </w:r>
            <w:r w:rsidR="00EC2415" w:rsidRPr="00F41379">
              <w:rPr>
                <w:bCs/>
              </w:rPr>
              <w:t xml:space="preserve">teaduskirjanduse ja </w:t>
            </w:r>
            <w:r w:rsidR="00EC2415" w:rsidRPr="00F41379">
              <w:rPr>
                <w:bCs/>
              </w:rPr>
              <w:lastRenderedPageBreak/>
              <w:t>olemasolevates tuuleparkides teostatud mõõtmiste baasil.</w:t>
            </w:r>
          </w:p>
        </w:tc>
      </w:tr>
      <w:tr w:rsidR="00F56525" w:rsidRPr="001F70D1" w14:paraId="5197E690" w14:textId="77777777" w:rsidTr="001F70D1">
        <w:trPr>
          <w:trHeight w:val="567"/>
        </w:trPr>
        <w:tc>
          <w:tcPr>
            <w:tcW w:w="2263" w:type="dxa"/>
            <w:vMerge/>
            <w:vAlign w:val="center"/>
          </w:tcPr>
          <w:p w14:paraId="4E211126" w14:textId="77777777" w:rsidR="00F56525" w:rsidRPr="001F70D1" w:rsidRDefault="00F56525" w:rsidP="00F56525">
            <w:pPr>
              <w:rPr>
                <w:bCs/>
                <w:i/>
                <w:iCs/>
              </w:rPr>
            </w:pPr>
          </w:p>
        </w:tc>
        <w:tc>
          <w:tcPr>
            <w:tcW w:w="7796" w:type="dxa"/>
            <w:vAlign w:val="center"/>
          </w:tcPr>
          <w:p w14:paraId="659BB51F" w14:textId="4961488E" w:rsidR="00F56525" w:rsidRPr="001F70D1" w:rsidRDefault="00F56525" w:rsidP="00F56525">
            <w:pPr>
              <w:rPr>
                <w:bCs/>
                <w:i/>
                <w:iCs/>
                <w:lang w:val="en-US"/>
              </w:rPr>
            </w:pPr>
            <w:r w:rsidRPr="00F13649">
              <w:rPr>
                <w:bCs/>
                <w:i/>
                <w:iCs/>
              </w:rPr>
              <w:t>Soovitame teostada tuulikute käivitumisjärgselt kontrollmõõtmisi, et võrrelda müra modelleerimise tulemusi tegeliku müratasemega maksimaalse võimsusega töötamise ajal.</w:t>
            </w:r>
          </w:p>
        </w:tc>
        <w:tc>
          <w:tcPr>
            <w:tcW w:w="3686" w:type="dxa"/>
            <w:vAlign w:val="center"/>
          </w:tcPr>
          <w:p w14:paraId="218049B2" w14:textId="68401715" w:rsidR="00F56525" w:rsidRPr="00A05C84" w:rsidRDefault="00A05C84" w:rsidP="00F56525">
            <w:pPr>
              <w:rPr>
                <w:bCs/>
              </w:rPr>
            </w:pPr>
            <w:r w:rsidRPr="00A05C84">
              <w:rPr>
                <w:bCs/>
                <w:lang w:val="et"/>
              </w:rPr>
              <w:t>Võtame teadmiseks</w:t>
            </w:r>
            <w:r w:rsidR="00C308BE">
              <w:rPr>
                <w:bCs/>
                <w:lang w:val="et"/>
              </w:rPr>
              <w:t xml:space="preserve">. </w:t>
            </w:r>
            <w:r w:rsidR="00C308BE" w:rsidRPr="001413C2">
              <w:t xml:space="preserve"> </w:t>
            </w:r>
            <w:r w:rsidR="00C308BE" w:rsidRPr="001413C2">
              <w:rPr>
                <w:bCs/>
              </w:rPr>
              <w:t>Asjakohasel juhul on võimalik seirenõue seada KSH aruandes. Programmis seirenõudeid ei käsitleta.</w:t>
            </w:r>
          </w:p>
        </w:tc>
      </w:tr>
      <w:tr w:rsidR="00F56525" w:rsidRPr="001F70D1" w14:paraId="6EF7D919" w14:textId="77777777" w:rsidTr="001F70D1">
        <w:trPr>
          <w:trHeight w:val="567"/>
        </w:trPr>
        <w:tc>
          <w:tcPr>
            <w:tcW w:w="2263" w:type="dxa"/>
            <w:vMerge/>
            <w:vAlign w:val="center"/>
          </w:tcPr>
          <w:p w14:paraId="4B75054B" w14:textId="77777777" w:rsidR="00F56525" w:rsidRPr="001F70D1" w:rsidRDefault="00F56525" w:rsidP="00F56525">
            <w:pPr>
              <w:rPr>
                <w:bCs/>
                <w:i/>
                <w:iCs/>
              </w:rPr>
            </w:pPr>
          </w:p>
        </w:tc>
        <w:tc>
          <w:tcPr>
            <w:tcW w:w="7796" w:type="dxa"/>
            <w:vAlign w:val="center"/>
          </w:tcPr>
          <w:p w14:paraId="6358E60F" w14:textId="2206747C" w:rsidR="00F56525" w:rsidRPr="001F70D1" w:rsidRDefault="00F56525" w:rsidP="00F56525">
            <w:pPr>
              <w:rPr>
                <w:bCs/>
                <w:i/>
                <w:iCs/>
                <w:lang w:val="en-US"/>
              </w:rPr>
            </w:pPr>
            <w:r w:rsidRPr="00600B34">
              <w:rPr>
                <w:bCs/>
                <w:i/>
                <w:iCs/>
              </w:rPr>
              <w:t>Soovitame hinnata planeeritava tegevuse mõju joogivee kvaliteedile, sest tagada tuleb joogiveehaarete sanitaarkaitsealade kaitse ning vältida põhjavee kvaliteedi halvenemist</w:t>
            </w:r>
            <w:r>
              <w:rPr>
                <w:bCs/>
                <w:i/>
                <w:iCs/>
              </w:rPr>
              <w:t>.</w:t>
            </w:r>
          </w:p>
        </w:tc>
        <w:tc>
          <w:tcPr>
            <w:tcW w:w="3686" w:type="dxa"/>
            <w:vAlign w:val="center"/>
          </w:tcPr>
          <w:p w14:paraId="647EC927" w14:textId="3CE1E896" w:rsidR="00F56525" w:rsidRPr="00A05C84" w:rsidRDefault="00A05C84" w:rsidP="00F56525">
            <w:pPr>
              <w:rPr>
                <w:bCs/>
              </w:rPr>
            </w:pPr>
            <w:r w:rsidRPr="00A05C84">
              <w:rPr>
                <w:bCs/>
                <w:lang w:val="et"/>
              </w:rPr>
              <w:t>Võtame teadmiseks</w:t>
            </w:r>
            <w:r w:rsidR="00EC2415">
              <w:rPr>
                <w:bCs/>
                <w:lang w:val="et"/>
              </w:rPr>
              <w:t xml:space="preserve">. </w:t>
            </w:r>
            <w:r w:rsidR="00976C8C">
              <w:rPr>
                <w:bCs/>
                <w:lang w:val="et"/>
              </w:rPr>
              <w:t>Mõju pinnaveele ja veekvaliteedile hinnatakse KSH</w:t>
            </w:r>
            <w:r w:rsidR="0020164C">
              <w:rPr>
                <w:bCs/>
                <w:lang w:val="et"/>
              </w:rPr>
              <w:t>s.</w:t>
            </w:r>
            <w:bookmarkStart w:id="1" w:name="_GoBack"/>
            <w:bookmarkEnd w:id="1"/>
          </w:p>
        </w:tc>
      </w:tr>
      <w:tr w:rsidR="00F56525" w:rsidRPr="001F70D1" w14:paraId="2A97B81E" w14:textId="77777777" w:rsidTr="001F70D1">
        <w:trPr>
          <w:trHeight w:val="567"/>
        </w:trPr>
        <w:tc>
          <w:tcPr>
            <w:tcW w:w="2263" w:type="dxa"/>
            <w:vMerge/>
            <w:vAlign w:val="center"/>
          </w:tcPr>
          <w:p w14:paraId="35507E8E" w14:textId="77777777" w:rsidR="00F56525" w:rsidRPr="001F70D1" w:rsidRDefault="00F56525" w:rsidP="00F56525">
            <w:pPr>
              <w:rPr>
                <w:bCs/>
                <w:i/>
                <w:iCs/>
              </w:rPr>
            </w:pPr>
          </w:p>
        </w:tc>
        <w:tc>
          <w:tcPr>
            <w:tcW w:w="7796" w:type="dxa"/>
            <w:vAlign w:val="center"/>
          </w:tcPr>
          <w:p w14:paraId="6C13EBC5" w14:textId="6CCD3BA0" w:rsidR="00F56525" w:rsidRPr="001F70D1" w:rsidRDefault="00F56525" w:rsidP="00F56525">
            <w:pPr>
              <w:rPr>
                <w:bCs/>
                <w:i/>
                <w:iCs/>
                <w:lang w:val="en-US"/>
              </w:rPr>
            </w:pPr>
            <w:r w:rsidRPr="002111B7">
              <w:rPr>
                <w:bCs/>
                <w:i/>
                <w:iCs/>
              </w:rPr>
              <w:t>Soovitame planeeringu menetlusprotsessis teha aktiivset koostööd kohalike elanikega, et saavutada ümbruskonna elanike tervist toetav planeeringulahendus</w:t>
            </w:r>
            <w:r>
              <w:rPr>
                <w:bCs/>
                <w:i/>
                <w:iCs/>
              </w:rPr>
              <w:t>.</w:t>
            </w:r>
          </w:p>
        </w:tc>
        <w:tc>
          <w:tcPr>
            <w:tcW w:w="3686" w:type="dxa"/>
            <w:vAlign w:val="center"/>
          </w:tcPr>
          <w:p w14:paraId="5348CAC5" w14:textId="3BAC10C8" w:rsidR="00F56525" w:rsidRPr="00A05C84" w:rsidRDefault="00A05C84" w:rsidP="00F56525">
            <w:pPr>
              <w:rPr>
                <w:bCs/>
              </w:rPr>
            </w:pPr>
            <w:r>
              <w:rPr>
                <w:bCs/>
              </w:rPr>
              <w:t>Koostööd tehakse.</w:t>
            </w:r>
          </w:p>
        </w:tc>
      </w:tr>
      <w:tr w:rsidR="00F56525" w:rsidRPr="001F70D1" w14:paraId="6DA13237" w14:textId="77777777" w:rsidTr="001F70D1">
        <w:trPr>
          <w:trHeight w:val="794"/>
        </w:trPr>
        <w:tc>
          <w:tcPr>
            <w:tcW w:w="2263" w:type="dxa"/>
            <w:shd w:val="clear" w:color="auto" w:fill="C7D6D1"/>
            <w:vAlign w:val="center"/>
          </w:tcPr>
          <w:p w14:paraId="25165B82" w14:textId="77777777" w:rsidR="00F56525" w:rsidRPr="001F70D1" w:rsidRDefault="00F56525" w:rsidP="00F56525">
            <w:pPr>
              <w:rPr>
                <w:bCs/>
                <w:i/>
                <w:iCs/>
              </w:rPr>
            </w:pPr>
            <w:r w:rsidRPr="001F70D1">
              <w:rPr>
                <w:bCs/>
                <w:i/>
                <w:iCs/>
              </w:rPr>
              <w:t>Kaasatav asutus või isik</w:t>
            </w:r>
          </w:p>
        </w:tc>
        <w:tc>
          <w:tcPr>
            <w:tcW w:w="7796" w:type="dxa"/>
            <w:shd w:val="clear" w:color="auto" w:fill="C7D6D1"/>
            <w:vAlign w:val="center"/>
          </w:tcPr>
          <w:p w14:paraId="65C15F45" w14:textId="77777777" w:rsidR="00F56525" w:rsidRPr="001F70D1" w:rsidRDefault="00F56525" w:rsidP="00F56525">
            <w:pPr>
              <w:rPr>
                <w:bCs/>
                <w:i/>
                <w:iCs/>
              </w:rPr>
            </w:pPr>
          </w:p>
        </w:tc>
        <w:tc>
          <w:tcPr>
            <w:tcW w:w="3686" w:type="dxa"/>
            <w:shd w:val="clear" w:color="auto" w:fill="C7D6D1"/>
            <w:vAlign w:val="center"/>
          </w:tcPr>
          <w:p w14:paraId="4670BA20" w14:textId="77777777" w:rsidR="00F56525" w:rsidRPr="001F70D1" w:rsidRDefault="00F56525" w:rsidP="00F56525">
            <w:pPr>
              <w:rPr>
                <w:bCs/>
                <w:i/>
                <w:iCs/>
              </w:rPr>
            </w:pPr>
          </w:p>
        </w:tc>
      </w:tr>
      <w:tr w:rsidR="00F56525" w:rsidRPr="001F70D1" w14:paraId="5E492676" w14:textId="77777777" w:rsidTr="001F70D1">
        <w:trPr>
          <w:trHeight w:val="552"/>
        </w:trPr>
        <w:tc>
          <w:tcPr>
            <w:tcW w:w="2263" w:type="dxa"/>
            <w:vAlign w:val="center"/>
          </w:tcPr>
          <w:p w14:paraId="7CE3FFF5" w14:textId="7D1445D0" w:rsidR="00F56525" w:rsidRPr="003937AE" w:rsidRDefault="00F56525" w:rsidP="00F56525">
            <w:pPr>
              <w:rPr>
                <w:bCs/>
              </w:rPr>
            </w:pPr>
            <w:r w:rsidRPr="003937AE">
              <w:rPr>
                <w:bCs/>
              </w:rPr>
              <w:t>Enery Estonia OÜ</w:t>
            </w:r>
            <w:r>
              <w:rPr>
                <w:bCs/>
              </w:rPr>
              <w:t xml:space="preserve"> (Marthen Kummer, Margus Potisepp)</w:t>
            </w:r>
          </w:p>
        </w:tc>
        <w:tc>
          <w:tcPr>
            <w:tcW w:w="7796" w:type="dxa"/>
            <w:vAlign w:val="center"/>
          </w:tcPr>
          <w:p w14:paraId="4AB18824" w14:textId="77777777" w:rsidR="00F56525" w:rsidRPr="00FE1182" w:rsidRDefault="00F56525" w:rsidP="00F56525">
            <w:pPr>
              <w:rPr>
                <w:bCs/>
                <w:i/>
                <w:iCs/>
                <w:lang w:val="en-US"/>
              </w:rPr>
            </w:pPr>
            <w:r w:rsidRPr="00FE1182">
              <w:rPr>
                <w:bCs/>
                <w:i/>
                <w:iCs/>
                <w:lang w:val="en-US"/>
              </w:rPr>
              <w:t>Seoses mitme tuuleparkide arendamisele suunatud planeeringu samaaegse menetluse</w:t>
            </w:r>
            <w:r w:rsidRPr="00FE1182">
              <w:rPr>
                <w:bCs/>
                <w:i/>
                <w:iCs/>
              </w:rPr>
              <w:t>ga</w:t>
            </w:r>
            <w:r w:rsidRPr="00FE1182">
              <w:rPr>
                <w:bCs/>
                <w:i/>
                <w:iCs/>
                <w:lang w:val="en-US"/>
              </w:rPr>
              <w:t xml:space="preserve"> Lüganuse vallas teeme Alexela Kiviõli hübriidpargi lähteseisukohtadele ja keskkonnamõjude strateegilise hindamise programmi</w:t>
            </w:r>
            <w:r w:rsidRPr="00FE1182">
              <w:rPr>
                <w:bCs/>
                <w:i/>
                <w:iCs/>
              </w:rPr>
              <w:t xml:space="preserve">le </w:t>
            </w:r>
            <w:r w:rsidRPr="00FE1182">
              <w:rPr>
                <w:bCs/>
                <w:i/>
                <w:iCs/>
                <w:lang w:val="en-US"/>
              </w:rPr>
              <w:t>alljärgneva ettepaneku:</w:t>
            </w:r>
          </w:p>
          <w:p w14:paraId="51DF5ABB" w14:textId="4223B280" w:rsidR="00F56525" w:rsidRPr="00FE1182" w:rsidRDefault="00F56525" w:rsidP="00F56525">
            <w:pPr>
              <w:numPr>
                <w:ilvl w:val="0"/>
                <w:numId w:val="47"/>
              </w:numPr>
              <w:rPr>
                <w:bCs/>
                <w:i/>
                <w:iCs/>
                <w:lang w:val="en-US"/>
              </w:rPr>
            </w:pPr>
            <w:r w:rsidRPr="00FE1182">
              <w:rPr>
                <w:bCs/>
                <w:i/>
                <w:iCs/>
                <w:lang w:val="en-US"/>
              </w:rPr>
              <w:t xml:space="preserve">palume tasakaalustatud terviklahenduse kujundamiseks ning kumulatiivsete mõjude võimalikult efektiivseks hindamiseks arvestada lähiala tuuleparkide planeeringutega ja teha </w:t>
            </w:r>
            <w:r w:rsidRPr="00FE1182">
              <w:rPr>
                <w:bCs/>
                <w:i/>
                <w:iCs/>
              </w:rPr>
              <w:t xml:space="preserve">tihedat </w:t>
            </w:r>
            <w:r w:rsidRPr="00FE1182">
              <w:rPr>
                <w:bCs/>
                <w:i/>
                <w:iCs/>
                <w:lang w:val="en-US"/>
              </w:rPr>
              <w:t>koostööd planeeringuala piirkonnas asuvate kinnistuomanikega.</w:t>
            </w:r>
            <w:r w:rsidRPr="00FE1182">
              <w:rPr>
                <w:bCs/>
                <w:i/>
                <w:iCs/>
              </w:rPr>
              <w:t xml:space="preserve"> Peame oluliseks, et koostööd alustatakse võimalikult varases etapis lahenduste paremaks koordineerimiseks. </w:t>
            </w:r>
          </w:p>
        </w:tc>
        <w:tc>
          <w:tcPr>
            <w:tcW w:w="3686" w:type="dxa"/>
            <w:vAlign w:val="center"/>
          </w:tcPr>
          <w:p w14:paraId="00A8942D" w14:textId="33C7DB8C" w:rsidR="00F56525" w:rsidRPr="000D05FC" w:rsidRDefault="000D05FC" w:rsidP="00F56525">
            <w:pPr>
              <w:rPr>
                <w:bCs/>
              </w:rPr>
            </w:pPr>
            <w:r w:rsidRPr="000D05FC">
              <w:rPr>
                <w:bCs/>
              </w:rPr>
              <w:t xml:space="preserve">Teadmiseks võetud ja </w:t>
            </w:r>
            <w:r w:rsidR="00595EF8">
              <w:rPr>
                <w:bCs/>
              </w:rPr>
              <w:t>koostööd tehakse.</w:t>
            </w:r>
          </w:p>
        </w:tc>
      </w:tr>
    </w:tbl>
    <w:p w14:paraId="1F266227" w14:textId="77777777" w:rsidR="00B0656E" w:rsidRDefault="00B0656E"/>
    <w:sectPr w:rsidR="00B0656E" w:rsidSect="001F70D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16B8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64EE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0765E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A8C92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EBB89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C2AE66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F5D0F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617C2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76E73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B78CD5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5188F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810F0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2A060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8E499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4213F6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617F1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9099E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C164D4A"/>
    <w:multiLevelType w:val="hybridMultilevel"/>
    <w:tmpl w:val="188E5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E7C5363"/>
    <w:multiLevelType w:val="multilevel"/>
    <w:tmpl w:val="853CB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92E7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A790C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C49548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4A63DF2"/>
    <w:multiLevelType w:val="hybridMultilevel"/>
    <w:tmpl w:val="14963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8BFCD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A2B36E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CF5348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097482B"/>
    <w:multiLevelType w:val="hybridMultilevel"/>
    <w:tmpl w:val="AA3087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348DB6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5A35ED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AC715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E49A7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85C57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00339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08410C3"/>
    <w:multiLevelType w:val="hybridMultilevel"/>
    <w:tmpl w:val="A6964C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2C94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6774B6D"/>
    <w:multiLevelType w:val="hybridMultilevel"/>
    <w:tmpl w:val="4C083CB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2BF0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1238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C3450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DC783E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85D97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B0F77F1"/>
    <w:multiLevelType w:val="hybridMultilevel"/>
    <w:tmpl w:val="DB8664B4"/>
    <w:lvl w:ilvl="0" w:tplc="0409000F">
      <w:start w:val="1"/>
      <w:numFmt w:val="decimal"/>
      <w:lvlText w:val="%1."/>
      <w:lvlJc w:val="left"/>
      <w:pPr>
        <w:ind w:left="720" w:hanging="360"/>
      </w:pPr>
    </w:lvl>
    <w:lvl w:ilvl="1" w:tplc="C7DA69C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B765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4E25F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5A1158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DE2A1B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F245E0B"/>
    <w:multiLevelType w:val="hybridMultilevel"/>
    <w:tmpl w:val="8796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6"/>
  </w:num>
  <w:num w:numId="3">
    <w:abstractNumId w:val="33"/>
  </w:num>
  <w:num w:numId="4">
    <w:abstractNumId w:val="35"/>
  </w:num>
  <w:num w:numId="5">
    <w:abstractNumId w:val="22"/>
  </w:num>
  <w:num w:numId="6">
    <w:abstractNumId w:val="41"/>
  </w:num>
  <w:num w:numId="7">
    <w:abstractNumId w:val="46"/>
  </w:num>
  <w:num w:numId="8">
    <w:abstractNumId w:val="31"/>
  </w:num>
  <w:num w:numId="9">
    <w:abstractNumId w:val="20"/>
  </w:num>
  <w:num w:numId="10">
    <w:abstractNumId w:val="28"/>
  </w:num>
  <w:num w:numId="11">
    <w:abstractNumId w:val="3"/>
  </w:num>
  <w:num w:numId="12">
    <w:abstractNumId w:val="4"/>
  </w:num>
  <w:num w:numId="13">
    <w:abstractNumId w:val="27"/>
  </w:num>
  <w:num w:numId="14">
    <w:abstractNumId w:val="34"/>
  </w:num>
  <w:num w:numId="15">
    <w:abstractNumId w:val="11"/>
  </w:num>
  <w:num w:numId="16">
    <w:abstractNumId w:val="14"/>
  </w:num>
  <w:num w:numId="17">
    <w:abstractNumId w:val="0"/>
  </w:num>
  <w:num w:numId="18">
    <w:abstractNumId w:val="21"/>
  </w:num>
  <w:num w:numId="19">
    <w:abstractNumId w:val="36"/>
  </w:num>
  <w:num w:numId="20">
    <w:abstractNumId w:val="16"/>
  </w:num>
  <w:num w:numId="21">
    <w:abstractNumId w:val="23"/>
  </w:num>
  <w:num w:numId="22">
    <w:abstractNumId w:val="25"/>
  </w:num>
  <w:num w:numId="23">
    <w:abstractNumId w:val="13"/>
  </w:num>
  <w:num w:numId="24">
    <w:abstractNumId w:val="37"/>
  </w:num>
  <w:num w:numId="25">
    <w:abstractNumId w:val="39"/>
  </w:num>
  <w:num w:numId="26">
    <w:abstractNumId w:val="5"/>
  </w:num>
  <w:num w:numId="27">
    <w:abstractNumId w:val="24"/>
  </w:num>
  <w:num w:numId="28">
    <w:abstractNumId w:val="30"/>
  </w:num>
  <w:num w:numId="29">
    <w:abstractNumId w:val="7"/>
  </w:num>
  <w:num w:numId="30">
    <w:abstractNumId w:val="8"/>
  </w:num>
  <w:num w:numId="31">
    <w:abstractNumId w:val="32"/>
  </w:num>
  <w:num w:numId="32">
    <w:abstractNumId w:val="44"/>
  </w:num>
  <w:num w:numId="33">
    <w:abstractNumId w:val="19"/>
  </w:num>
  <w:num w:numId="34">
    <w:abstractNumId w:val="40"/>
  </w:num>
  <w:num w:numId="35">
    <w:abstractNumId w:val="10"/>
  </w:num>
  <w:num w:numId="36">
    <w:abstractNumId w:val="29"/>
  </w:num>
  <w:num w:numId="37">
    <w:abstractNumId w:val="38"/>
  </w:num>
  <w:num w:numId="38">
    <w:abstractNumId w:val="43"/>
  </w:num>
  <w:num w:numId="39">
    <w:abstractNumId w:val="1"/>
  </w:num>
  <w:num w:numId="40">
    <w:abstractNumId w:val="6"/>
  </w:num>
  <w:num w:numId="41">
    <w:abstractNumId w:val="2"/>
  </w:num>
  <w:num w:numId="42">
    <w:abstractNumId w:val="15"/>
  </w:num>
  <w:num w:numId="43">
    <w:abstractNumId w:val="12"/>
  </w:num>
  <w:num w:numId="44">
    <w:abstractNumId w:val="42"/>
  </w:num>
  <w:num w:numId="45">
    <w:abstractNumId w:val="9"/>
  </w:num>
  <w:num w:numId="46">
    <w:abstractNumId w:val="45"/>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D1"/>
    <w:rsid w:val="00032834"/>
    <w:rsid w:val="00034F0D"/>
    <w:rsid w:val="00046C9B"/>
    <w:rsid w:val="00052D8C"/>
    <w:rsid w:val="00063752"/>
    <w:rsid w:val="000759B5"/>
    <w:rsid w:val="00097594"/>
    <w:rsid w:val="000A04CD"/>
    <w:rsid w:val="000A22E2"/>
    <w:rsid w:val="000B2020"/>
    <w:rsid w:val="000B5EEA"/>
    <w:rsid w:val="000C40EC"/>
    <w:rsid w:val="000D05FC"/>
    <w:rsid w:val="000D3BAB"/>
    <w:rsid w:val="000D51FC"/>
    <w:rsid w:val="000F1BEC"/>
    <w:rsid w:val="000F342C"/>
    <w:rsid w:val="00101FCA"/>
    <w:rsid w:val="00116C1D"/>
    <w:rsid w:val="001225B0"/>
    <w:rsid w:val="00133056"/>
    <w:rsid w:val="00135458"/>
    <w:rsid w:val="0013641F"/>
    <w:rsid w:val="001413C2"/>
    <w:rsid w:val="00147C87"/>
    <w:rsid w:val="001752A4"/>
    <w:rsid w:val="00175849"/>
    <w:rsid w:val="001867C0"/>
    <w:rsid w:val="001A77E9"/>
    <w:rsid w:val="001A7D09"/>
    <w:rsid w:val="001B16FD"/>
    <w:rsid w:val="001B7CDA"/>
    <w:rsid w:val="001E4285"/>
    <w:rsid w:val="001F60A5"/>
    <w:rsid w:val="001F70D1"/>
    <w:rsid w:val="0020164C"/>
    <w:rsid w:val="002111B7"/>
    <w:rsid w:val="00216C21"/>
    <w:rsid w:val="00217703"/>
    <w:rsid w:val="0023015A"/>
    <w:rsid w:val="00233961"/>
    <w:rsid w:val="0024130E"/>
    <w:rsid w:val="00243B6B"/>
    <w:rsid w:val="0024418C"/>
    <w:rsid w:val="00255C25"/>
    <w:rsid w:val="00280203"/>
    <w:rsid w:val="00281C8D"/>
    <w:rsid w:val="00291003"/>
    <w:rsid w:val="00291D97"/>
    <w:rsid w:val="00294C0E"/>
    <w:rsid w:val="002B47C6"/>
    <w:rsid w:val="002C0E20"/>
    <w:rsid w:val="002C33EE"/>
    <w:rsid w:val="002D3A76"/>
    <w:rsid w:val="002E3757"/>
    <w:rsid w:val="002F60AC"/>
    <w:rsid w:val="003013FB"/>
    <w:rsid w:val="00302349"/>
    <w:rsid w:val="003029AA"/>
    <w:rsid w:val="00304323"/>
    <w:rsid w:val="0033627B"/>
    <w:rsid w:val="00340338"/>
    <w:rsid w:val="003558B8"/>
    <w:rsid w:val="00361375"/>
    <w:rsid w:val="003937AE"/>
    <w:rsid w:val="003A0C76"/>
    <w:rsid w:val="003B047B"/>
    <w:rsid w:val="003D7F0A"/>
    <w:rsid w:val="003E0FAA"/>
    <w:rsid w:val="003E6CBF"/>
    <w:rsid w:val="0040420B"/>
    <w:rsid w:val="00410247"/>
    <w:rsid w:val="004149C8"/>
    <w:rsid w:val="00423EED"/>
    <w:rsid w:val="00425F48"/>
    <w:rsid w:val="0043169E"/>
    <w:rsid w:val="00440DA3"/>
    <w:rsid w:val="00453B32"/>
    <w:rsid w:val="00456425"/>
    <w:rsid w:val="00460866"/>
    <w:rsid w:val="00460CCD"/>
    <w:rsid w:val="00466510"/>
    <w:rsid w:val="004670CF"/>
    <w:rsid w:val="00482A6C"/>
    <w:rsid w:val="00484655"/>
    <w:rsid w:val="00486BB8"/>
    <w:rsid w:val="00492603"/>
    <w:rsid w:val="00495877"/>
    <w:rsid w:val="00497C06"/>
    <w:rsid w:val="004B26C4"/>
    <w:rsid w:val="004B632B"/>
    <w:rsid w:val="004D4D55"/>
    <w:rsid w:val="004F586A"/>
    <w:rsid w:val="00515457"/>
    <w:rsid w:val="0053039A"/>
    <w:rsid w:val="005521E6"/>
    <w:rsid w:val="00552A43"/>
    <w:rsid w:val="005539C6"/>
    <w:rsid w:val="0056300B"/>
    <w:rsid w:val="00582B5B"/>
    <w:rsid w:val="00585B8F"/>
    <w:rsid w:val="00586FC9"/>
    <w:rsid w:val="00595EF8"/>
    <w:rsid w:val="005B33A8"/>
    <w:rsid w:val="005D3B0D"/>
    <w:rsid w:val="005E6B3C"/>
    <w:rsid w:val="00600B34"/>
    <w:rsid w:val="00607C3E"/>
    <w:rsid w:val="006175D1"/>
    <w:rsid w:val="006207B8"/>
    <w:rsid w:val="00625F47"/>
    <w:rsid w:val="0063089C"/>
    <w:rsid w:val="00637437"/>
    <w:rsid w:val="00647E7C"/>
    <w:rsid w:val="00671023"/>
    <w:rsid w:val="0067168E"/>
    <w:rsid w:val="0068621D"/>
    <w:rsid w:val="006B0C56"/>
    <w:rsid w:val="006C316C"/>
    <w:rsid w:val="006C5BEA"/>
    <w:rsid w:val="007044CE"/>
    <w:rsid w:val="007072A6"/>
    <w:rsid w:val="007126BC"/>
    <w:rsid w:val="0073378E"/>
    <w:rsid w:val="00754387"/>
    <w:rsid w:val="00760666"/>
    <w:rsid w:val="0078345B"/>
    <w:rsid w:val="007A04AD"/>
    <w:rsid w:val="007A66DC"/>
    <w:rsid w:val="007A7240"/>
    <w:rsid w:val="007D312A"/>
    <w:rsid w:val="007D6187"/>
    <w:rsid w:val="007F1767"/>
    <w:rsid w:val="008114D3"/>
    <w:rsid w:val="008122EA"/>
    <w:rsid w:val="00825632"/>
    <w:rsid w:val="00842AB3"/>
    <w:rsid w:val="00853ADD"/>
    <w:rsid w:val="00857DB5"/>
    <w:rsid w:val="00861F7E"/>
    <w:rsid w:val="00862AF9"/>
    <w:rsid w:val="0086567A"/>
    <w:rsid w:val="008869F8"/>
    <w:rsid w:val="00891380"/>
    <w:rsid w:val="00892D92"/>
    <w:rsid w:val="008A5188"/>
    <w:rsid w:val="008A64B3"/>
    <w:rsid w:val="008C0046"/>
    <w:rsid w:val="008D59C2"/>
    <w:rsid w:val="008E1BD5"/>
    <w:rsid w:val="008F7D83"/>
    <w:rsid w:val="0090598F"/>
    <w:rsid w:val="0092096B"/>
    <w:rsid w:val="009213B6"/>
    <w:rsid w:val="00960923"/>
    <w:rsid w:val="00976C8C"/>
    <w:rsid w:val="0098756E"/>
    <w:rsid w:val="00994885"/>
    <w:rsid w:val="009A6581"/>
    <w:rsid w:val="009B71DF"/>
    <w:rsid w:val="009C666B"/>
    <w:rsid w:val="00A05C84"/>
    <w:rsid w:val="00A13B60"/>
    <w:rsid w:val="00A2424F"/>
    <w:rsid w:val="00A25882"/>
    <w:rsid w:val="00A4760A"/>
    <w:rsid w:val="00AA3909"/>
    <w:rsid w:val="00AA6209"/>
    <w:rsid w:val="00AA6818"/>
    <w:rsid w:val="00AB2A82"/>
    <w:rsid w:val="00AB3B6F"/>
    <w:rsid w:val="00AC3E9A"/>
    <w:rsid w:val="00AD1148"/>
    <w:rsid w:val="00AE23B6"/>
    <w:rsid w:val="00AF0554"/>
    <w:rsid w:val="00B027B0"/>
    <w:rsid w:val="00B0656E"/>
    <w:rsid w:val="00B12E51"/>
    <w:rsid w:val="00B15147"/>
    <w:rsid w:val="00B22CBD"/>
    <w:rsid w:val="00B37E32"/>
    <w:rsid w:val="00B82AF9"/>
    <w:rsid w:val="00B8508B"/>
    <w:rsid w:val="00B9378C"/>
    <w:rsid w:val="00B95730"/>
    <w:rsid w:val="00B96705"/>
    <w:rsid w:val="00BA2B7B"/>
    <w:rsid w:val="00BB22F8"/>
    <w:rsid w:val="00BC067F"/>
    <w:rsid w:val="00BC0743"/>
    <w:rsid w:val="00BC2537"/>
    <w:rsid w:val="00BC5E44"/>
    <w:rsid w:val="00BF4DE3"/>
    <w:rsid w:val="00C04C60"/>
    <w:rsid w:val="00C308BE"/>
    <w:rsid w:val="00C66051"/>
    <w:rsid w:val="00C76F8D"/>
    <w:rsid w:val="00C778FC"/>
    <w:rsid w:val="00C84364"/>
    <w:rsid w:val="00C92A7D"/>
    <w:rsid w:val="00CA3C84"/>
    <w:rsid w:val="00CA695D"/>
    <w:rsid w:val="00CB13DC"/>
    <w:rsid w:val="00CC041B"/>
    <w:rsid w:val="00CC1885"/>
    <w:rsid w:val="00CC7F21"/>
    <w:rsid w:val="00CE05AB"/>
    <w:rsid w:val="00CE33BA"/>
    <w:rsid w:val="00CF0D8E"/>
    <w:rsid w:val="00CF0ED6"/>
    <w:rsid w:val="00CF5C3B"/>
    <w:rsid w:val="00CF612F"/>
    <w:rsid w:val="00D0602A"/>
    <w:rsid w:val="00D12F8D"/>
    <w:rsid w:val="00D264E2"/>
    <w:rsid w:val="00D4122D"/>
    <w:rsid w:val="00D52FCE"/>
    <w:rsid w:val="00D667E8"/>
    <w:rsid w:val="00D669D2"/>
    <w:rsid w:val="00D91D4C"/>
    <w:rsid w:val="00DA1E1A"/>
    <w:rsid w:val="00DC5853"/>
    <w:rsid w:val="00DE71FE"/>
    <w:rsid w:val="00DF4F52"/>
    <w:rsid w:val="00DF7421"/>
    <w:rsid w:val="00E0241E"/>
    <w:rsid w:val="00E02D6C"/>
    <w:rsid w:val="00E065D6"/>
    <w:rsid w:val="00E12081"/>
    <w:rsid w:val="00E54EF2"/>
    <w:rsid w:val="00E60E9D"/>
    <w:rsid w:val="00E62CFA"/>
    <w:rsid w:val="00E66E18"/>
    <w:rsid w:val="00E7272B"/>
    <w:rsid w:val="00E76BFB"/>
    <w:rsid w:val="00E85356"/>
    <w:rsid w:val="00E91986"/>
    <w:rsid w:val="00E9302A"/>
    <w:rsid w:val="00EA01F1"/>
    <w:rsid w:val="00EC2241"/>
    <w:rsid w:val="00EC2415"/>
    <w:rsid w:val="00ED48A8"/>
    <w:rsid w:val="00ED5AF9"/>
    <w:rsid w:val="00ED6376"/>
    <w:rsid w:val="00ED741A"/>
    <w:rsid w:val="00EE066D"/>
    <w:rsid w:val="00EF6CF8"/>
    <w:rsid w:val="00F0061E"/>
    <w:rsid w:val="00F112B1"/>
    <w:rsid w:val="00F13649"/>
    <w:rsid w:val="00F33B1D"/>
    <w:rsid w:val="00F356D5"/>
    <w:rsid w:val="00F41379"/>
    <w:rsid w:val="00F50E65"/>
    <w:rsid w:val="00F56525"/>
    <w:rsid w:val="00F7303B"/>
    <w:rsid w:val="00F76683"/>
    <w:rsid w:val="00FD3C2F"/>
    <w:rsid w:val="00FD3E3E"/>
    <w:rsid w:val="00FE1182"/>
    <w:rsid w:val="00FE24DB"/>
    <w:rsid w:val="00FF1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43B1"/>
  <w15:chartTrackingRefBased/>
  <w15:docId w15:val="{972D1990-30AB-4165-B708-FBCE84C9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0D"/>
    <w:rPr>
      <w:lang w:val="et-EE"/>
    </w:rPr>
  </w:style>
  <w:style w:type="paragraph" w:styleId="Heading1">
    <w:name w:val="heading 1"/>
    <w:basedOn w:val="Normal"/>
    <w:next w:val="Normal"/>
    <w:link w:val="Heading1Char"/>
    <w:uiPriority w:val="9"/>
    <w:qFormat/>
    <w:rsid w:val="001F7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7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0D1"/>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1F70D1"/>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rsid w:val="001F70D1"/>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1F70D1"/>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1F70D1"/>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1F70D1"/>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1F70D1"/>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1F70D1"/>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1F70D1"/>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1F7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0D1"/>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1F7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0D1"/>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1F70D1"/>
    <w:pPr>
      <w:spacing w:before="160"/>
      <w:jc w:val="center"/>
    </w:pPr>
    <w:rPr>
      <w:i/>
      <w:iCs/>
      <w:color w:val="404040" w:themeColor="text1" w:themeTint="BF"/>
    </w:rPr>
  </w:style>
  <w:style w:type="character" w:customStyle="1" w:styleId="QuoteChar">
    <w:name w:val="Quote Char"/>
    <w:basedOn w:val="DefaultParagraphFont"/>
    <w:link w:val="Quote"/>
    <w:uiPriority w:val="29"/>
    <w:rsid w:val="001F70D1"/>
    <w:rPr>
      <w:i/>
      <w:iCs/>
      <w:color w:val="404040" w:themeColor="text1" w:themeTint="BF"/>
      <w:lang w:val="et-EE"/>
    </w:rPr>
  </w:style>
  <w:style w:type="paragraph" w:styleId="ListParagraph">
    <w:name w:val="List Paragraph"/>
    <w:basedOn w:val="Normal"/>
    <w:uiPriority w:val="34"/>
    <w:qFormat/>
    <w:rsid w:val="001F70D1"/>
    <w:pPr>
      <w:ind w:left="720"/>
      <w:contextualSpacing/>
    </w:pPr>
  </w:style>
  <w:style w:type="character" w:styleId="IntenseEmphasis">
    <w:name w:val="Intense Emphasis"/>
    <w:basedOn w:val="DefaultParagraphFont"/>
    <w:uiPriority w:val="21"/>
    <w:qFormat/>
    <w:rsid w:val="001F70D1"/>
    <w:rPr>
      <w:i/>
      <w:iCs/>
      <w:color w:val="0F4761" w:themeColor="accent1" w:themeShade="BF"/>
    </w:rPr>
  </w:style>
  <w:style w:type="paragraph" w:styleId="IntenseQuote">
    <w:name w:val="Intense Quote"/>
    <w:basedOn w:val="Normal"/>
    <w:next w:val="Normal"/>
    <w:link w:val="IntenseQuoteChar"/>
    <w:uiPriority w:val="30"/>
    <w:qFormat/>
    <w:rsid w:val="001F7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0D1"/>
    <w:rPr>
      <w:i/>
      <w:iCs/>
      <w:color w:val="0F4761" w:themeColor="accent1" w:themeShade="BF"/>
      <w:lang w:val="et-EE"/>
    </w:rPr>
  </w:style>
  <w:style w:type="character" w:styleId="IntenseReference">
    <w:name w:val="Intense Reference"/>
    <w:basedOn w:val="DefaultParagraphFont"/>
    <w:uiPriority w:val="32"/>
    <w:qFormat/>
    <w:rsid w:val="001F70D1"/>
    <w:rPr>
      <w:b/>
      <w:bCs/>
      <w:smallCaps/>
      <w:color w:val="0F4761" w:themeColor="accent1" w:themeShade="BF"/>
      <w:spacing w:val="5"/>
    </w:rPr>
  </w:style>
  <w:style w:type="character" w:styleId="CommentReference">
    <w:name w:val="annotation reference"/>
    <w:basedOn w:val="DefaultParagraphFont"/>
    <w:uiPriority w:val="99"/>
    <w:semiHidden/>
    <w:unhideWhenUsed/>
    <w:qFormat/>
    <w:rsid w:val="001F70D1"/>
    <w:rPr>
      <w:sz w:val="16"/>
      <w:szCs w:val="16"/>
    </w:rPr>
  </w:style>
  <w:style w:type="paragraph" w:styleId="CommentText">
    <w:name w:val="annotation text"/>
    <w:basedOn w:val="Normal"/>
    <w:link w:val="CommentTextChar"/>
    <w:uiPriority w:val="99"/>
    <w:unhideWhenUsed/>
    <w:qFormat/>
    <w:rsid w:val="001F70D1"/>
    <w:pPr>
      <w:spacing w:after="200" w:line="240" w:lineRule="auto"/>
    </w:pPr>
    <w:rPr>
      <w:rFonts w:ascii="Arial" w:eastAsiaTheme="minorEastAsia" w:hAnsi="Arial"/>
      <w:spacing w:val="10"/>
      <w:kern w:val="0"/>
      <w:sz w:val="20"/>
      <w:szCs w:val="20"/>
      <w:lang w:eastAsia="et-EE"/>
      <w14:ligatures w14:val="none"/>
    </w:rPr>
  </w:style>
  <w:style w:type="character" w:customStyle="1" w:styleId="CommentTextChar">
    <w:name w:val="Comment Text Char"/>
    <w:basedOn w:val="DefaultParagraphFont"/>
    <w:link w:val="CommentText"/>
    <w:uiPriority w:val="99"/>
    <w:rsid w:val="001F70D1"/>
    <w:rPr>
      <w:rFonts w:ascii="Arial" w:eastAsiaTheme="minorEastAsia" w:hAnsi="Arial"/>
      <w:spacing w:val="10"/>
      <w:kern w:val="0"/>
      <w:sz w:val="20"/>
      <w:szCs w:val="20"/>
      <w:lang w:val="et-EE" w:eastAsia="et-EE"/>
      <w14:ligatures w14:val="none"/>
    </w:rPr>
  </w:style>
  <w:style w:type="character" w:styleId="Hyperlink">
    <w:name w:val="Hyperlink"/>
    <w:basedOn w:val="DefaultParagraphFont"/>
    <w:uiPriority w:val="99"/>
    <w:unhideWhenUsed/>
    <w:rsid w:val="001F70D1"/>
    <w:rPr>
      <w:color w:val="467886" w:themeColor="hyperlink"/>
      <w:u w:val="single"/>
    </w:rPr>
  </w:style>
  <w:style w:type="character" w:customStyle="1" w:styleId="UnresolvedMention">
    <w:name w:val="Unresolved Mention"/>
    <w:basedOn w:val="DefaultParagraphFont"/>
    <w:uiPriority w:val="99"/>
    <w:semiHidden/>
    <w:unhideWhenUsed/>
    <w:rsid w:val="001F70D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207B8"/>
    <w:pPr>
      <w:spacing w:after="160"/>
    </w:pPr>
    <w:rPr>
      <w:rFonts w:asciiTheme="minorHAnsi" w:eastAsiaTheme="minorHAnsi" w:hAnsiTheme="minorHAnsi"/>
      <w:b/>
      <w:bCs/>
      <w:spacing w:val="0"/>
      <w:kern w:val="2"/>
      <w:lang w:eastAsia="en-US"/>
      <w14:ligatures w14:val="standardContextual"/>
    </w:rPr>
  </w:style>
  <w:style w:type="character" w:customStyle="1" w:styleId="CommentSubjectChar">
    <w:name w:val="Comment Subject Char"/>
    <w:basedOn w:val="CommentTextChar"/>
    <w:link w:val="CommentSubject"/>
    <w:uiPriority w:val="99"/>
    <w:semiHidden/>
    <w:rsid w:val="006207B8"/>
    <w:rPr>
      <w:rFonts w:ascii="Arial" w:eastAsiaTheme="minorEastAsia" w:hAnsi="Arial"/>
      <w:b/>
      <w:bCs/>
      <w:spacing w:val="10"/>
      <w:kern w:val="0"/>
      <w:sz w:val="20"/>
      <w:szCs w:val="20"/>
      <w:lang w:val="et-EE" w:eastAsia="et-EE"/>
      <w14:ligatures w14:val="none"/>
    </w:rPr>
  </w:style>
  <w:style w:type="paragraph" w:customStyle="1" w:styleId="Default">
    <w:name w:val="Default"/>
    <w:rsid w:val="00361375"/>
    <w:pPr>
      <w:autoSpaceDE w:val="0"/>
      <w:autoSpaceDN w:val="0"/>
      <w:adjustRightInd w:val="0"/>
      <w:spacing w:after="0" w:line="240" w:lineRule="auto"/>
    </w:pPr>
    <w:rPr>
      <w:rFonts w:ascii="Aptos" w:hAnsi="Aptos" w:cs="Aptos"/>
      <w:color w:val="000000"/>
      <w:kern w:val="0"/>
      <w:sz w:val="24"/>
      <w:szCs w:val="24"/>
    </w:rPr>
  </w:style>
  <w:style w:type="paragraph" w:styleId="Revision">
    <w:name w:val="Revision"/>
    <w:hidden/>
    <w:uiPriority w:val="99"/>
    <w:semiHidden/>
    <w:rsid w:val="000D51FC"/>
    <w:pPr>
      <w:spacing w:after="0" w:line="240" w:lineRule="auto"/>
    </w:pPr>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5925">
      <w:bodyDiv w:val="1"/>
      <w:marLeft w:val="0"/>
      <w:marRight w:val="0"/>
      <w:marTop w:val="0"/>
      <w:marBottom w:val="0"/>
      <w:divBdr>
        <w:top w:val="none" w:sz="0" w:space="0" w:color="auto"/>
        <w:left w:val="none" w:sz="0" w:space="0" w:color="auto"/>
        <w:bottom w:val="none" w:sz="0" w:space="0" w:color="auto"/>
        <w:right w:val="none" w:sz="0" w:space="0" w:color="auto"/>
      </w:divBdr>
    </w:div>
    <w:div w:id="278680144">
      <w:bodyDiv w:val="1"/>
      <w:marLeft w:val="0"/>
      <w:marRight w:val="0"/>
      <w:marTop w:val="0"/>
      <w:marBottom w:val="0"/>
      <w:divBdr>
        <w:top w:val="none" w:sz="0" w:space="0" w:color="auto"/>
        <w:left w:val="none" w:sz="0" w:space="0" w:color="auto"/>
        <w:bottom w:val="none" w:sz="0" w:space="0" w:color="auto"/>
        <w:right w:val="none" w:sz="0" w:space="0" w:color="auto"/>
      </w:divBdr>
    </w:div>
    <w:div w:id="765808909">
      <w:bodyDiv w:val="1"/>
      <w:marLeft w:val="0"/>
      <w:marRight w:val="0"/>
      <w:marTop w:val="0"/>
      <w:marBottom w:val="0"/>
      <w:divBdr>
        <w:top w:val="none" w:sz="0" w:space="0" w:color="auto"/>
        <w:left w:val="none" w:sz="0" w:space="0" w:color="auto"/>
        <w:bottom w:val="none" w:sz="0" w:space="0" w:color="auto"/>
        <w:right w:val="none" w:sz="0" w:space="0" w:color="auto"/>
      </w:divBdr>
    </w:div>
    <w:div w:id="974992528">
      <w:bodyDiv w:val="1"/>
      <w:marLeft w:val="0"/>
      <w:marRight w:val="0"/>
      <w:marTop w:val="0"/>
      <w:marBottom w:val="0"/>
      <w:divBdr>
        <w:top w:val="none" w:sz="0" w:space="0" w:color="auto"/>
        <w:left w:val="none" w:sz="0" w:space="0" w:color="auto"/>
        <w:bottom w:val="none" w:sz="0" w:space="0" w:color="auto"/>
        <w:right w:val="none" w:sz="0" w:space="0" w:color="auto"/>
      </w:divBdr>
    </w:div>
    <w:div w:id="999191798">
      <w:bodyDiv w:val="1"/>
      <w:marLeft w:val="0"/>
      <w:marRight w:val="0"/>
      <w:marTop w:val="0"/>
      <w:marBottom w:val="0"/>
      <w:divBdr>
        <w:top w:val="none" w:sz="0" w:space="0" w:color="auto"/>
        <w:left w:val="none" w:sz="0" w:space="0" w:color="auto"/>
        <w:bottom w:val="none" w:sz="0" w:space="0" w:color="auto"/>
        <w:right w:val="none" w:sz="0" w:space="0" w:color="auto"/>
      </w:divBdr>
    </w:div>
    <w:div w:id="176156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3163C8531AE242938FA876C1714262" ma:contentTypeVersion="15" ma:contentTypeDescription="Loo uus dokument" ma:contentTypeScope="" ma:versionID="775415ae67d3377ff4a683874b1197c2">
  <xsd:schema xmlns:xsd="http://www.w3.org/2001/XMLSchema" xmlns:xs="http://www.w3.org/2001/XMLSchema" xmlns:p="http://schemas.microsoft.com/office/2006/metadata/properties" xmlns:ns2="d81b6ee9-c27d-401d-95db-50e6414b50ae" xmlns:ns3="15a972b5-728a-4f91-a6fe-ff76a27a86c2" targetNamespace="http://schemas.microsoft.com/office/2006/metadata/properties" ma:root="true" ma:fieldsID="bf7eb4cd6005f80740801f53d9cabc93" ns2:_="" ns3:_="">
    <xsd:import namespace="d81b6ee9-c27d-401d-95db-50e6414b50ae"/>
    <xsd:import namespace="15a972b5-728a-4f91-a6fe-ff76a27a86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6ee9-c27d-401d-95db-50e6414b50a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6" nillable="true" ma:displayName="Taxonomy Catch All Column" ma:hidden="true" ma:list="{8130d514-1b5e-4762-ba9a-80a6dec78374}" ma:internalName="TaxCatchAll" ma:showField="CatchAllData" ma:web="d81b6ee9-c27d-401d-95db-50e6414b50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972b5-728a-4f91-a6fe-ff76a27a86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Pildisildid" ma:readOnly="false" ma:fieldId="{5cf76f15-5ced-4ddc-b409-7134ff3c332f}" ma:taxonomyMulti="true" ma:sspId="e63896be-8e41-4be5-95ba-ded379c3faf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1b6ee9-c27d-401d-95db-50e6414b50ae" xsi:nil="true"/>
    <lcf76f155ced4ddcb4097134ff3c332f xmlns="15a972b5-728a-4f91-a6fe-ff76a27a86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B79E4-E863-4286-8165-B90494F1A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6ee9-c27d-401d-95db-50e6414b50ae"/>
    <ds:schemaRef ds:uri="15a972b5-728a-4f91-a6fe-ff76a27a8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74F09-F9AA-4200-B834-F0CA0D31D7C9}">
  <ds:schemaRefs>
    <ds:schemaRef ds:uri="http://schemas.microsoft.com/sharepoint/v3/contenttype/forms"/>
  </ds:schemaRefs>
</ds:datastoreItem>
</file>

<file path=customXml/itemProps3.xml><?xml version="1.0" encoding="utf-8"?>
<ds:datastoreItem xmlns:ds="http://schemas.openxmlformats.org/officeDocument/2006/customXml" ds:itemID="{81DF2941-17D9-4A40-8235-6ECBE13D7F50}">
  <ds:schemaRefs>
    <ds:schemaRef ds:uri="http://schemas.microsoft.com/office/2006/metadata/properties"/>
    <ds:schemaRef ds:uri="http://schemas.microsoft.com/office/infopath/2007/PartnerControls"/>
    <ds:schemaRef ds:uri="d81b6ee9-c27d-401d-95db-50e6414b50ae"/>
    <ds:schemaRef ds:uri="15a972b5-728a-4f91-a6fe-ff76a27a86c2"/>
  </ds:schemaRefs>
</ds:datastoreItem>
</file>

<file path=customXml/itemProps4.xml><?xml version="1.0" encoding="utf-8"?>
<ds:datastoreItem xmlns:ds="http://schemas.openxmlformats.org/officeDocument/2006/customXml" ds:itemID="{CF96FE97-2A51-4009-B1BD-7BCA22B1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1079</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Ollema</dc:creator>
  <cp:keywords/>
  <dc:description/>
  <cp:lastModifiedBy>Susanna</cp:lastModifiedBy>
  <cp:revision>3</cp:revision>
  <dcterms:created xsi:type="dcterms:W3CDTF">2025-03-06T11:38:00Z</dcterms:created>
  <dcterms:modified xsi:type="dcterms:W3CDTF">2025-03-06T11:39:00Z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0x010100F33163C8531AE242938FA876C1714262</vt:lpwstr>
  </property>
  <property fmtid="{D5CDD505-2E9C-101B-9397-08002B2CF9AE}" pid="3" name="MediaServiceImageTags">
    <vt:lpwstr/>
  </property>
</Properties>
</file>